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epistemic_virtue_collective_success</w:t>
      </w:r>
    </w:p>
    <w:p>
      <w:r>
        <w:t xml:space="preserve"> </w:t>
      </w:r>
    </w:p>
    <w:p>
      <w:pPr>
        <w:pStyle w:val="Heading2"/>
      </w:pPr>
      <w:r>
        <w:t>Title</w:t>
      </w:r>
    </w:p>
    <w:p>
      <w:r>
        <w:t>Mixed-method evaluation using surveys, experiments, field pilots, and likelihood-free calibrated agent-based models to test the role of individual epistemic virtue in the collective reliability of scientific institutions</w:t>
      </w:r>
    </w:p>
    <w:p>
      <w:r>
        <w:t xml:space="preserve"> </w:t>
      </w:r>
    </w:p>
    <w:p>
      <w:pPr>
        <w:pStyle w:val="Heading2"/>
      </w:pPr>
      <w:r>
        <w:t>Short Hypothesis</w:t>
      </w:r>
    </w:p>
    <w:p>
      <w:r>
        <w:t>Increasing individual-level epistemic virtue (measured as higher intellectual humility, epistemic rigor, curiosity, and openness) causes measurable improvements in collective scientific reliability (higher data-sharing rates, higher replication success, and faster correction lag) compared to matched controls.</w:t>
      </w:r>
    </w:p>
    <w:p>
      <w:r>
        <w:t xml:space="preserve"> </w:t>
      </w:r>
    </w:p>
    <w:p>
      <w:pPr>
        <w:pStyle w:val="Heading2"/>
      </w:pPr>
      <w:r>
        <w:t>Related Work</w:t>
      </w:r>
    </w:p>
    <w:p>
      <w:r>
        <w:t>Two families of prior work are directly relevant. First, structural explanations (sometimes called virtue radicalism) argue that collective success of science emerges from economic incentives, division of cognitive labor, and market-like invisible-hand mechanisms; empirical work here tests incentive changes (e.g., rewards for publications or data) and system-level reforms. Second, individual-virtue work (philosophy and psychology) theorizes traits like intellectual humility and epistemic rigor as drivers of better inquiry; empirical studies measure these traits with self-report scales and limited behavioral tasks. Computational studies have used agent-based models (ABMs) to simulate epistemic dynamics, and likelihood-free inference (LFI) methods to calibrate such models. Limitations: structural accounts often underplay individual motivation and learning; virtue-focused empirical work is fragmented, with weak cross-disciplinary validation and small samples; ABMs suffer identifiability and calibration challenges; prior interventions often lack cluster-randomized field evidence and clear causal identification, and data-privacy practices and anti-gaming safeguards are frequently underspecified.</w:t>
      </w:r>
    </w:p>
    <w:p>
      <w:r>
        <w:t xml:space="preserve"> </w:t>
      </w:r>
    </w:p>
    <w:p>
      <w:pPr>
        <w:pStyle w:val="Heading2"/>
      </w:pPr>
      <w:r>
        <w:t>Abstract</w:t>
      </w:r>
    </w:p>
    <w:p>
      <w:r>
        <w:t>We address whether individual epistemic virtues are causally important for the collective reliability of science, or whether structural incentives alone suffice. We combine four methods: a large stratified survey (N≈2,000) measuring validated virtue scales and archival proxies; randomized online experiments (N≈1,200) testing brief virtue-building interventions and behavioral tasks that measure belief updating and data-sharing decisions; ten-institution cluster-randomized field pilots (5 treatment, 5 control) implementing institution-level support for virtue-aligned practices; and an agent-based model (ABM) calibrated with likelihood-free inference (ABC-SMC, synthetic likelihood, and neural posterior estimators). The main contribution is an integrated empirical–computational pipeline that links measured trait distributions to simulated institutional dynamics and tests causal effects on cluster-level outcomes (data-sharing rate, replication success, correction lag). Expected outcomes are (1) causal estimates of individual-virtue interventions on collective reliability, (2) calibrated ABM posterior distributions connecting micro-level traits to macro-level patterns, and (3) reproducible protocols and pre-registered analyses for policy translation.</w:t>
      </w:r>
    </w:p>
    <w:p>
      <w:r>
        <w:t xml:space="preserve"> </w:t>
      </w:r>
    </w:p>
    <w:p>
      <w:pPr>
        <w:pStyle w:val="Heading2"/>
      </w:pPr>
      <w:r>
        <w:t>Experiments</w:t>
      </w:r>
    </w:p>
    <w:p>
      <w:r>
        <w:t>Datasets: (A) Cross-sectional survey of active researchers N≈2,000 stratified by discipline (5 strata ≈400 each), career stage, region, institution type; (B) Online randomized experiments N≈1,200 stratified by discipline and career stage; (C) Field pilots: 10 institutions (5 treatment, 5 matched control), cluster size target ≈20 participants each (total ≈400 per arm). Baselines: (1) incentive-only policy baseline (no virtue-focused training), (2) sham training control (time-matched neutral content). Primary endpoints: cluster-level data-sharing rate (proportion), replication success rate (proportion of findings replicated), mean belief-update score from the belief-update task (continuous). Secondary endpoints: psychometric virtue scales (scores), archival proxies (preregistration rate, code availability), correction lag (days). Evaluation metrics: ITT average treatment effect (cluster-level), CACE for compliance, multilevel mixed-effects models (individuals nested in clusters), cluster-robust SEs, Benjamini-Hochberg FDR for families, effect sizes (Cohen's d) for continuous outcomes, absolute proportion differences for binary outcomes. Power and MDEs: individual-level standardized MDE d=0.30 with per-condition completed N≈176 (recruit 220 allowing 20% attrition); cluster-level absolute MDEs: ICC=0.05 → Δ=0.10, ICC=0.10 → Δ=0.12, ICC=0.15 → Δ=0.15 with 10 clusters/arm and n≈20/cluster. ABM experiments: parameter sweeps varying mean virtue ±0.2, incentive strength, network modularity; calibration via ABC-SMC (N_particles≈2000, ε adaptive to target acceptance 1–5%, require ESS&gt;500), plus synthetic-likelihood and SNPE (neural posterior) comparisons. Ablation studies: (i) ABM-informed priors versus uniform priors for field-pilot analysis, (ii) ensemble LFI (ABC-SMC + synthetic likelihood + SNPE) versus single-method inference, (iii) remove individual-virtue component in ABM to test structural-only counterfactual. Model evaluation: posterior predictive checks against at least three empirical benchmarks, simulation-based calibration (SBC), and reporting of runtime and compute costs.</w:t>
      </w:r>
    </w:p>
    <w:p>
      <w:r>
        <w:t xml:space="preserve"> </w:t>
      </w:r>
    </w:p>
    <w:p>
      <w:pPr>
        <w:pStyle w:val="Heading2"/>
      </w:pPr>
      <w:r>
        <w:t>Risk Factors And Limitations</w:t>
      </w:r>
    </w:p>
    <w:p>
      <w:r>
        <w:t>Measurement validity: self-report scales can be biased by social desirability; behavioral tasks may not fully generalize to real-world research actions. Sampling and attrition: low response rates or &gt;30% cluster attrition may reduce power and bias estimates. Noncompliance and contamination: participants may not follow assigned treatments or control sites may adopt similar practices. ICC uncertainty: incorrect intra-class correlation assumptions can under- or overstate power. ABM identifiability: likelihood-free calibration can produce weakly identified parameters and multimodal posteriors; results depend on summary-statistic choice. Compute and scalability: full ABC-SMC calibrations can require thousands of core-hours and up to 2 TB storage; cost may limit repeated inference runs. Privacy and utility tradeoff: applying differential privacy (technical method adding noise to outputs to protect individuals) will reduce data utility; choice of privacy parameters (epsilon, delta) limits publishable detail. Generalizability: findings from the selected disciplines, regions, and pilot institutions may not extend to all scientific communities. Anti-gaming detection: anomaly algorithms may yield false positives/negatives, affecting trust and operations.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