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doing_redoing_undoing_gender_de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study operationalizing doing, redoing, and undoing gender to measure how visibility practices shape outcomes for women tech founders in Germany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Adopting organizational and self-presentation practices that explicitly 'undo' gender causes a higher probability of receiving funding within 12 months than adopting 'doing' (gender-conforming) practices, controlling for sector, prior revenue, and network ties.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splits into (1) qualitative studies applying 'doing gender' theory that describe how women adapt presentation and organizational practices in entrepreneurship, (2) survey-based gender-and-entrepreneurship work that measures outcomes (funding, growth) but treats gender as a binary attribute, (3) vignette experiments testing investor bias with brief scenarios, and (4) network studies using ERGM/SAOM to link ties to outcomes. Limitations: no validated psychometric scales that operationalize 'doing/redoing/undoing' across pitching, team-building, fundraising, and product/design; prior vignette work often lacks behavioral validation and calibration rules; quantitative studies under-sample intersectional groups (migrant background, disability, trans/non-binary) and rarely combine experimental vignettes with whole-/ego-network data; network analyses often lack power analyses across realistic parameter ranges for multiplex ties; and privacy practice descriptions are weak for combined scraped and survey data under GDPR.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women tech founders in Germany actively create visibility and whether those practices reproduce, restructure, or eliminate gendered expectations. We use a mixed-methods design combining validated multi-item scales for doing/redoing/undoing gender across four domains (pitching, team-building, fundraising, product/design), randomized vignette experiments, qualitative interviews, and network data (accelerator cohorts and ego-networks). Main contributions: (1) development and psychometric validation of domain-specific doing/redoing/undoing scales, (2) causal tests via randomized vignette manipulations and a stepped-wedge cluster randomized pilot at accelerator level, and (3) integration of behavioral, network, and outcome data (funding events, investor evaluations). Expected outcomes: validated measures with pre-registered thresholds, evidence on whether undoing practices causally affect funding and evaluations, and reproducible pipelines and privacy-preserving releases that meet GDPR constraints. Results will clarify actionable pathways by which visibility practices relate to entrepreneurial outcomes for diverse women founders.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Berlin pilot survey n≈200 (EFA n=100, CFA n=100) recruited from accelerator rosters, Gründerinnenzentren, and Handelsregister-derived lists; (2) full survey target n≈800 with stratified quotas (migrant-background ≥150, disability ≥80, trans/non-binary ≥60) combining Crunchbase, LinkedIn, accelerator rosters, and RDS seeds; (3) administrative linkage: funding events and company registrations from Handelsregister/Crunchbase; (4) qualitative interview corpus ~40 diverse founders. Baselines: (A) standard gender-binary self-ID model without doing/redoing/undoing scales; (B) survey without vignettes; (C) network-free models. Evaluation metrics: primary outcome binary funding_event_12m (funding received within 12 months); secondary outcomes: log funding_amount, investor_evaluation_score (0-100), network_centrality (degree, betweenness), scale reliability (Cronbach's alpha, McDonald's omega), factor loadings and their standard errors, vignette effect sizes (Cohen's d), latent-class entropy and BLRT (bootstrap likelihood ratio test). Experimental setup: (1) Psychometrics: EFA then CFA with retention rules: loadings ≥0.40, cross-loadings &lt;0.30, fit thresholds CFI/TLI≥0.95 RMSEA≤0.06 SRMR≤0.08; report SEs for key loadings and item:participant ratios. (2) Vignettes: randomized investor-gender and metric-emphasis cues; between-subjects assignment; pre-specified target detectable effect d=0.30; decision rule: if discrimination &lt;60% revise text. (3) Causal test: stepped-wedge cluster RCT at accelerator level for inclusive-pitch intervention; pre-register primary outcome and interim analysis rules. (4) Network analysis: whole-network where possible, otherwise ego-networks; ERGM and SAOM specifications pre-registered; run simulation-based power curves for node sizes 200–300 across densities 0.02–0.08 and reciprocity 0.1–0.3. (5) Latent-class models: estimate 2–8 classes, use BIC, BLRT, and entropy for selection; perform entropy and classification error reporting; require n≥500 for stable 4–6 class recovery. Ablations/comparisons: (a) full model vs baseline A and B; (b) with vs without vignette predictors; (c) with vs without network covariates; (d) psychometric scale items removed in stepwise ablation to assess impact on outcome prediction. Data processing: pre-register multiple imputation (MICE, 50 imputations) for item missingness; for network missing ties pre-register MI-ERGM and report diagnostics (convergence, imputation variance, edge-wise coverage). Privacy release: synthetic-data utility and re-identification simulations reported (RMSE on key aggregates, re-id risk).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Psychometrics: EFA/CFA split at n≈100 each is marginal if many items—item:participant ratio may be too low, causing large SEs on loadings. Latent-class and network recovery: with n≈500 class recovery may fail if class separation is low; ERGM/SAOM parameters can be non-identifiable for multiplex or weighted ties. Vignette risks: manipulation may not generate target effect sizes or discrimination &lt;60%, reducing causal inference. Network missing-data: imputation for ties is complex and may be biased under non-ignorable missingness. Recruitment: under-recruitment of intersectional subgroups will reduce power and bias estimates; non-response may require heavy weighting with increased variance. Privacy: tension between k-anonymity/l-diversity and differential privacy can reduce analytic utility; synthetic data may not preserve complex network properties. Legal: cross-border cloud storage and scraped-identifier retention raise GDPR risks. Name→gender inference: errors for nonbinary or multilingual names can cause misclassification harms. Computation: ERGM/SAOM simulations and synthetic-data generation are compute intensive and may limit iterative testing. Generalization: findings will primarily reflect German tech ecosystems and may not transfer to other countries or sectors.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