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A decade-long econometric analysis using regression and instrumental strategies to identify drivers of firm-level export growth in Santander, Colombia</w:t>
      </w:r>
    </w:p>
    <w:p>
      <w:r>
        <w:t xml:space="preserve"> </w:t>
      </w:r>
    </w:p>
    <w:p>
      <w:pPr>
        <w:pStyle w:val="Heading2"/>
      </w:pPr>
      <w:r>
        <w:t>Short Hypothesis</w:t>
      </w:r>
    </w:p>
    <w:p>
      <w:r>
        <w:t>Exogenous reductions in trade-time or trade-costs (caused by liner-service entries or staged port/single-window upgrades) cause a statistically significant increase in annual export value of SMEs in Santander, controlling for firm characteristics and selection into exporting.</w:t>
      </w:r>
    </w:p>
    <w:p>
      <w:r>
        <w:t xml:space="preserve"> </w:t>
      </w:r>
    </w:p>
    <w:p>
      <w:pPr>
        <w:pStyle w:val="Heading2"/>
      </w:pPr>
      <w:r>
        <w:t>Related Work</w:t>
      </w:r>
    </w:p>
    <w:p>
      <w:r>
        <w:t>Existing approaches to study export growth combine gravity-style models, firm-level regressions, selection corrections, and structural trade frameworks. Gravity models with Poisson Pseudo-Maximum Likelihood (PPML) are standard for bilateral flows because they handle zero trade flows and heteroskedasticity; however, they operate at aggregate product-country lanes and may miss firm heterogeneity. Firm-level studies use fixed-effects panels and Heckman or control-function corrections to address selection into exporting, but these methods can be biased if entry is endogenous. Structural Melitz-type models (which model firm productivity and selection) provide theory-consistent calibration but rely on strong shape and elasticity priors. Instrumental-variable (IV) strategies using liner-service changes or phased infrastructure rollouts are common to identify causal effects on trade costs, but they face risks of instrument endogeneity (carriers or authorities responding to exporter behavior), weak instruments, and small-sample inference problems. Synthetic-control and difference-in-differences (DiD) designs address counterfactuals for policy rollouts but require careful pre-trend checks and may not generalize to firm-level microdata. Overall limitations: instrument validity and weak-IV inference, matching errors when linking customs to firm registries, sparse product-level zero-inflation, and scarce subnational decade-long firm panels that combine customs microdata with regional opportunity maps.</w:t>
      </w:r>
    </w:p>
    <w:p>
      <w:r>
        <w:t xml:space="preserve"> </w:t>
      </w:r>
    </w:p>
    <w:p>
      <w:pPr>
        <w:pStyle w:val="Heading2"/>
      </w:pPr>
      <w:r>
        <w:t>Abstract</w:t>
      </w:r>
    </w:p>
    <w:p>
      <w:r>
        <w:t>This study analyzes firm-level drivers of export growth in Santander, Colombia using a decade of export and firm data (2010–2020). We combine panel regression, Poisson gravity (PPML) for lane-level effects, and instrumental-variable (IV) identification to estimate how reductions in time-to-export and trade costs affect SME export value. Instruments include exogenous liner-service entries/withdrawals and staged port or single-window upgrades. We explicitly model the two margins of trade: entry into exporting (selection) and intensive-margin growth. We contribute three elements: (1) a pre-specified instrument-pruning and weak-IV contingency protocol (reporting AR/CLR inference and Monte Carlo diagnostics), (2) matched customs–registry microdata analysis with quantified probabilistic-linkage sensitivity, and (3) counterfactual calibration mapping reductions in days-to-export to percent export change under alternative elasticity priors. Expected outcomes are robust causal estimates of export responsiveness to logistics and policy shocks, formalized decision rules for instrument acceptance, and reproducible power calculations for SME-targeted pilots. Results will inform trade facilitation and SME support targeting in post-pandemic and trade-agreement contexts.</w:t>
      </w:r>
    </w:p>
    <w:p>
      <w:r>
        <w:t xml:space="preserve"> </w:t>
      </w:r>
    </w:p>
    <w:p>
      <w:pPr>
        <w:pStyle w:val="Heading2"/>
      </w:pPr>
      <w:r>
        <w:t>Experiments</w:t>
      </w:r>
    </w:p>
    <w:p>
      <w:r>
        <w:t>Datasets: (1) Customs microdata for Santander exports 2010–2020 (shipment-level HS code, value, weight, date, port, consignee tax ID when available). (2) ORBIS firm financials and employment for matching firms. (3) Regional opportunity map data (sector clusters, regional indicators). (4) UN Comtrade/BACI aggregates for fallback validation. (5) AIS/carrier schedule logs and donor rollout calendars for instrument timing. Baselines: (A) OLS and firm-time fixed-effects regressions on log export value (intensive margin) with selection controls; (B) Heckman selection-correction two-step; (C) PPML gravity with exporter-time and importer-time fixed effects; (D) Zero-inflated/hurdle models for sparse product flows. Identification strategies to compare: (1) IV-2SLS using liner-service entry/withdrawal and staged port/single-window rollout instruments; (2) Difference-in-differences (staggered DiD) with synthetic control for phased rollouts; (3) Control-function IV at firm-level. Evaluation metrics: estimated ATT/ATE on export value (percent change), standard errors, first-stage F-statistics, partial-R2, Anderson-Rubin/CLR p-values, coverage of 95% CIs, RMSE for out-of-sample prediction, power/MDE tables, and linkage error rates. Experimental setup: (a) Match customs records to ORBIS using tax ID when present; fallback probabilistic matching with thresholds 0.7, 0.8, 0.9 and record manual audit rates (10%). (b) Estimate entry (probit) and intensive-margin regressions; implement control-function and Heckman variants. (c) Run IV-2SLS and report AR/CLR by default; prune instruments using pre-specified decision rules (see ablation). (d) Monte Carlo simulations: generate panels with exporter-share 10%, baseline export-value variance from data, impose treatment effects of 15% and 25%, simulate instruments with varying first-stage strengths (F=5,10,20) and spatial correlation; report bias, RMSE, and AR/CLR rejection rates. Comparison/ablation studies: (i) Full model vs. no-selection-correction; (ii) IV using liner-service only vs. port-upgrade only vs. combined; (iii) Different matching thresholds to quantify linkage sensitivity; (iv) PPML vs. OLS for lane-level estimates; (v) include / exclude firms within buffer zones to test spillover effects. All code and synthetic data-generating kernels will be versioned for reproducibility.</w:t>
      </w:r>
    </w:p>
    <w:p>
      <w:r>
        <w:t xml:space="preserve"> </w:t>
      </w:r>
    </w:p>
    <w:p>
      <w:pPr>
        <w:pStyle w:val="Heading2"/>
      </w:pPr>
      <w:r>
        <w:t>Risk Factors And Limitations</w:t>
      </w:r>
    </w:p>
    <w:p>
      <w:r>
        <w:t>1) Instrument endogeneity: carriers or port authorities may respond to aggregate exporter behavior, violating exclusion; this risks biased IV estimates. 2) Weak instruments and small samples: weak first-stage relationships and the modest sample of matched exporters reduce power and complicate inference. 3) Matching and measurement error: missing or inconsistent tax IDs and HS-code misclassification create linkage error and measurement bias. 4) Data access and legal constraints: delays or denial of customs microdata, restrictive data-use terms, or localization rules can limit analysis. 5) Spillovers and interference: treatments on a lane or port may affect nearby firms, violating stable-unit-treatment assumptions and biasing estimates. 6) Model misspecification: mis-specified selection models or inappropriate functional forms (log-linear vs. PPML) may produce misleading coefficients. 7) Generalizability limits: results from Santander and 2010–2020 context (including post-pandemic shifts) may not apply to other regions or periods. 8) Computational limits: Monte Carlo kernels and PPML with many fixed effects can be compute-intensive for extensive simulations. 9) Legal/ethical risk: handling PII requires strict governance and may restrict public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