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effectuation_precommitments_sme_international</w:t>
      </w:r>
    </w:p>
    <w:p>
      <w:r>
        <w:t xml:space="preserve"> </w:t>
      </w:r>
    </w:p>
    <w:p>
      <w:pPr>
        <w:pStyle w:val="Heading2"/>
      </w:pPr>
      <w:r>
        <w:t>Title</w:t>
      </w:r>
    </w:p>
    <w:p>
      <w:r>
        <w:t>A mixed-methods causal analysis using randomized encouragement and Bayesian hierarchical measurement of how pre-commitments influence foreign market entry opportunities and international performance in SMEs</w:t>
      </w:r>
    </w:p>
    <w:p>
      <w:r>
        <w:t xml:space="preserve"> </w:t>
      </w:r>
    </w:p>
    <w:p>
      <w:pPr>
        <w:pStyle w:val="Heading2"/>
      </w:pPr>
      <w:r>
        <w:t>Short Hypothesis</w:t>
      </w:r>
    </w:p>
    <w:p>
      <w:r>
        <w:t>Increasing a firm's pre-commitment strength causally increases its creation of foreign market entry opportunities and improves international performance (export sales and export intensity), and this causal effect is larger for firms with greater experiential learning.</w:t>
      </w:r>
    </w:p>
    <w:p>
      <w:r>
        <w:t xml:space="preserve"> </w:t>
      </w:r>
    </w:p>
    <w:p>
      <w:pPr>
        <w:pStyle w:val="Heading2"/>
      </w:pPr>
      <w:r>
        <w:t>Related Work</w:t>
      </w:r>
    </w:p>
    <w:p>
      <w:r>
        <w:t>Prior research on effectuation and internationalization divides into two streams. One stream develops effectuation theory and offers qualitative, process-oriented case studies documenting how entrepreneurs use pre-commitments, affordable loss rules, and staging logic to enter foreign markets. The other stream applies survey-based methods (often using PLS-SEM, a statistical approach for estimating relationships among latent variables when samples or measures are limited) to test associations between effectuation components and outcomes. Real-options literature frames staging and commitments as option-like investments but typically models firm behavior at a theoretical or macro level. Limitations across existing work include: heavy reliance on cross-sectional associations rather than causal designs; measurements based on self-reports or fixed multipliers without formal uncertainty quantification (introducing measurement error); small or single-country samples limiting generalizability; weak attention to valid instruments or experimental leverage for identification; and sparse integration of qualitative sequencing evidence with rigorous causal estimation. These gaps leave open whether pre-commitments cause opportunity creation and how robust results are to measurement and endogeneity.</w:t>
      </w:r>
    </w:p>
    <w:p>
      <w:r>
        <w:t xml:space="preserve"> </w:t>
      </w:r>
    </w:p>
    <w:p>
      <w:pPr>
        <w:pStyle w:val="Heading2"/>
      </w:pPr>
      <w:r>
        <w:t>Abstract</w:t>
      </w:r>
    </w:p>
    <w:p>
      <w:r>
        <w:t>This study investigates whether and how firm pre-commitments—formal or informal promises such as letters of intent (LOIs), staged commitments, and affordable-loss decisions—causally affect the creation of foreign market entry opportunities and subsequent international performance in small and medium-sized enterprises (SMEs). We combine a randomized encouragement design (targeted interventions to increase pre-commitment formation), observational panel surveys, archival contract coding, and a Bayesian hierarchical measurement model that treats formality multipliers and realization probabilities as probabilistic quantities. Our estimation suite includes panel fixed-effects, instrumental variables (policy/platform rollouts), doubly robust AIPW, and structural equation mediation analysis to test mechanisms; nonlinearity and heterogeneity are pre-registered and modeled with splines. The main contributions are (1) credible causal estimates of pre-commitment effects on opportunity creation and export performance, (2) a probabilistic measurement approach that quantifies uncertainty in contract strength, and (3) integrated mixed-method evidence on mediators and moderators (notably experiential learning). Expected outcomes are defensible policy-relevant effect sizes and transparently reproducible protocols for measuring pre-commitments.</w:t>
      </w:r>
    </w:p>
    <w:p>
      <w:r>
        <w:t xml:space="preserve"> </w:t>
      </w:r>
    </w:p>
    <w:p>
      <w:pPr>
        <w:pStyle w:val="Heading2"/>
      </w:pPr>
      <w:r>
        <w:t>Experiments</w:t>
      </w:r>
    </w:p>
    <w:p>
      <w:r>
        <w:t>Datasets: (a) existing observational survey of 332 New Zealand SMEs (PLS-SEM replication); (b) archival contract pilot (50 contracts) for coding validation; (c) 6-week pilot randomized encouragement across 3 pilot countries with 450 firms (150 per country); (d) full cluster-randomized trial with 2,000 firms across countries/industries. Baselines: OLS cross-sectional models; panel fixed-effects (FE); PLS-SEM using latent constructs; SEM without measurement-error correction. Primary outcomes: (1) count of foreign market entry opportunities created (integer); (2) export sales growth (log change); (3) export intensity (percent of revenue). Mediators/moderators: resource access index, external legitimacy index, coordination index, and experiential learning (years and exported markets). Evaluation metrics: average treatment effect (ATE) and average treatment on the treated (ATT) with 95% confidence intervals; local average treatment effect (LATE) and complier average causal effect (CACE) from IV/2SLS; standardized effect sizes (Cohen's d); model fit AIC/BIC for nonlinear specifications; first-stage F-statistics (target &gt;10) for instruments; balance diagnostics (standardized mean differences, target SMD&lt;0.10); sensitivity metrics (Rosenbaum bounds, Oster's delta, e-values) pre-specified on grid. Experimental setup: randomized encouragement (assignment → offer LOI facilitation), cluster randomization by market-region × industry to limit spillovers, covariate-adaptive randomization with audited seed, and prespecified blocking on country, sector, firm size, prior export experience. Estimators and procedures: primary = panel FE with clustered SEs; robustness = IV-2SLS (policy/platform rollouts as instruments), AIPW doubly robust estimator, DiD for policy shock exploitation, CACE via assignment instrumenting receipt, SIMEX and Bayesian hierarchical measurement-error propagation for probabilistic strength indices, SEM mediation (lavaan syntax) and instrumental mediation when assignment serves as mediator instrument. Nonlinearity and heterogeneity: compare quadratic polynomial vs restricted cubic splines (knots at 25th/50th/75th percentiles) using AIC/BIC. Ablation studies: (A) fixed-formality multipliers vs Bayesian probabilistic multipliers; (B) models with and without experiential learning moderator; (C) IV-2SLS vs DiD vs FE; (D) quadratic vs spline nonlinearity. Power assumptions: alpha=0.05, power=0.80, ICC=0.05, target detectable effect = 0.25 SD; pilot = 450 firms; full trial = 2,000 firms. Pre-analysis checks: balance diagnostics, placebo outcome tests (domestic sales, unrelated product lines), event-study lead tests (no pre-trend), and overidentification tests where multiple instruments exist.</w:t>
      </w:r>
    </w:p>
    <w:p>
      <w:r>
        <w:t xml:space="preserve"> </w:t>
      </w:r>
    </w:p>
    <w:p>
      <w:pPr>
        <w:pStyle w:val="Heading2"/>
      </w:pPr>
      <w:r>
        <w:t>Risk Factors And Limitations</w:t>
      </w:r>
    </w:p>
    <w:p>
      <w:r>
        <w:t>Instrument validity risk: candidate instruments (policy rollouts, platform launches) may violate exclusion restrictions if they affect outcomes through channels other than pre-commitments (weak instruments are instruments that do not strongly predict the treatment and can bias IV estimates). Measurement error risk: managerial reports and fixed multipliers can be noisy; probabilistic measurement models increase complexity and may require strong priors to concentrate posteriors. Noncompliance and attrition risk: firms may not accept encouragement or drop out, producing selection that biases ITT estimates and complicates LATE/CACE interpretation. Sample and power limits: cluster-level intraclass correlation (ICC) higher than assumed or larger-than-expected attrition will reduce effective power and increase minimum detectable effects. Generalizability: pilot and New Zealand samples may not transfer to other institutional contexts. Legal and data-access constraints: cross-border differences in contract confidentiality can prevent archival scans and limit validation. Computational and scalability limits: Bayesian hierarchical models with Monte Carlo propagation and SIMEX are compute-intensive and may slow iteration. Mediation identification limits: full identification of mediators requires exclusion/instrument conditions that may not hold in observational subsamples. Ethical/market-harm constraints: intervention that increases formal pre-commitments could distort local markets or expose buyers/sellers to risk, constraining treatment intensity.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