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config_variability_expertise_study</w:t>
      </w:r>
    </w:p>
    <w:p>
      <w:r>
        <w:t xml:space="preserve"> </w:t>
      </w:r>
    </w:p>
    <w:p>
      <w:pPr>
        <w:pStyle w:val="Heading2"/>
      </w:pPr>
      <w:r>
        <w:t>Title</w:t>
      </w:r>
    </w:p>
    <w:p>
      <w:r>
        <w:t>A large-scale repository mining study of developer engagement and expertise with variable versus mandatory code in preprocessor-based configurable software systems</w:t>
      </w:r>
    </w:p>
    <w:p>
      <w:r>
        <w:t xml:space="preserve"> </w:t>
      </w:r>
    </w:p>
    <w:p>
      <w:pPr>
        <w:pStyle w:val="Heading2"/>
      </w:pPr>
      <w:r>
        <w:t>Short Hypothesis</w:t>
      </w:r>
    </w:p>
    <w:p>
      <w:r>
        <w:t>Developers with higher conventional expertise metrics (e.g., greater commit counts and longer tenure) cause a lower rate of configuration-related CI failures per 1,000 builds when modifying variable (preprocessor-guarded) code than developers with lower conventional expertise metrics.</w:t>
      </w:r>
    </w:p>
    <w:p>
      <w:r>
        <w:t xml:space="preserve"> </w:t>
      </w:r>
    </w:p>
    <w:p>
      <w:pPr>
        <w:pStyle w:val="Heading2"/>
      </w:pPr>
      <w:r>
        <w:t>Related Work</w:t>
      </w:r>
    </w:p>
    <w:p>
      <w:r>
        <w:t>Prior work has measured developer expertise using simple proxies (commit counts, tenure, file ownership) and has separately studied feature variability in software product lines and preprocessor-based systems (e.g., #ifdefs). Other studies have mapped commits to features or used co-change and NLP heuristics to relate code changes to higher-level features. Research on CI/test failures has analyzed flaky tests and failure attribution, and small-scale qualitative work has examined who maintains variability. Limitations across these lines include narrow scope (single-project or few projects), reliance on unvalidated expertise proxies, weak or absent commit-to-feature validation, limited use of CI failure outcomes as objective measures, and scant large-scale evidence about whether standard expertise metrics reflect skill with variable code. Existing mapping approaches often lack confidence scores and human-verified gold sets, and prior causal analyses rarely pre-specify DAGs, sensitivity bounds, or multilevel power estimates.</w:t>
      </w:r>
    </w:p>
    <w:p>
      <w:r>
        <w:t xml:space="preserve"> </w:t>
      </w:r>
    </w:p>
    <w:p>
      <w:pPr>
        <w:pStyle w:val="Heading2"/>
      </w:pPr>
      <w:r>
        <w:t>Abstract</w:t>
      </w:r>
    </w:p>
    <w:p>
      <w:r>
        <w:t>Configurable software systems often contain both mandatory code and variable code guarded by preprocessor directives (e.g., #ifdef). It is unclear whether developers who score high on conventional expertise metrics (like commit count or tenure) are actually proficient at working on variable code. We propose a large-scale mining study of public repositories to (1) quantify how much variability work is concentrated among developers, (2) measure whether conventional expertise proxies predict better outcomes on variable code, and (3) validate commit-to-feature mappings and expertise proxies with human annotation. We will extract configuration models, map commits to options using parsing, AST/static analysis, and co-change classifiers, and use CI test failures as objective outcomes. Main contributions are: an operational pipeline for commit-to-feature mapping with confidence scoring, an annotated gold set for validation, and multilevel causal analyses comparing conventional and latent expertise metrics. Expected outcomes include reproducible evidence about the validity of expertise proxies for variable code and concrete maps of who bears variability workload across projects.</w:t>
      </w:r>
    </w:p>
    <w:p>
      <w:r>
        <w:t xml:space="preserve"> </w:t>
      </w:r>
    </w:p>
    <w:p>
      <w:pPr>
        <w:pStyle w:val="Heading2"/>
      </w:pPr>
      <w:r>
        <w:t>Experiments</w:t>
      </w:r>
    </w:p>
    <w:p>
      <w:r>
        <w:t>Datasets: 25 configurable software system (CSS) projects in C/C++/Java/Go/Rust/Python with public CI logs; pilot subset: Linux kernel (selected subsystem), PostgreSQL, Nginx. ETL: ingest git, CI logs, build/config artifacts, tests; produce developer-observation tuples (developerID, moduleID, week) and per-commit records. Annotation: stratified sample of 500-1,000 commits across pilots; two raters per item; gold set = 100 maintainer-validated items; random seed=42 for all splits. Commit-to-feature mapping baselines: (A) feature-model parsing only, (B) AST/#ifdef mapping, (C) co-change+NLP classifier, (D) combined pipeline with confidence scores. Expertise baselines: (1) conventional proxies (commit counts, tenure, file ownership), (2) latent composite via Bayesian IRT (latent trait combining tenure, recency-weighted config-fixes, test ownership, annotated labels), (3) random baseline. Evaluation metrics: config-related CI failure rate per 1,000 builds (primary outcome), rate ratios and standardized effect sizes, precision/recall and F1 of commit-to-feature mapping, Cohen's kappa for annotation reliability, ICCs (intraclass correlation) for multilevel variance, AUC and Brier score for classifiers, power estimates from Monte Carlo (1,000 reps per scenario). Statistical models: negative-binomial GLMM (counts) with random intercepts for project and module and optional random slopes for expertise (GLMM = generalized linear mixed model; NB handles overdispersed counts), Cox shared-frailty for time-to-fix (frailty = random effect). Ablations: compare (A)-(D) mapping pipelines; compare expertise (1) vs (2); remove CI-linked commits to test sensitivity. Sensitivity analyses: E-values and Rosenbaum bounds for unobserved confounding, measurement-error models for identity/linkage errors. Reporting: per-repo calibration tables and per-scenario power contours; code, seeds, and container images published for reproducibility.</w:t>
      </w:r>
    </w:p>
    <w:p>
      <w:r>
        <w:t xml:space="preserve"> </w:t>
      </w:r>
    </w:p>
    <w:p>
      <w:pPr>
        <w:pStyle w:val="Heading2"/>
      </w:pPr>
      <w:r>
        <w:t>Risk Factors And Limitations</w:t>
      </w:r>
    </w:p>
    <w:p>
      <w:r>
        <w:t>Technical failures: inaccurate commit-to-feature mapping (false positives/negatives), misattributed developer identities (mirrored commits or bots), and classifier calibration drift. Data biases: selected projects may over-represent large or well-resourced repositories and under-represent smaller or private projects; CI logs may be missing or inconsistent. Scalability: parsing large monorepos (e.g., Linux) and large CI traces may require substantial compute and storage. Evaluation limits: CI failure rate is an imperfect proxy for developer proficiency (it reflects tests and CI design). Annotation limits: human labels may have disagreement and limited maintainer availability for gold validation. Causal limits: residual unobserved confounding may remain; sensitivity analyses (E-values, Rosenbaum bounds) provide bounds but cannot fully prove causality. Privacy and legal constraints: partner policies or licenses may restrict data sharing and limit reproducibility of raw developer identifiers. Generalization: results on preprocessor-based variability may not apply to feature-flag systems or other configurability mechanisms.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