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pyrobuilds_incremental_exploration</w:t>
      </w:r>
    </w:p>
    <w:p>
      <w:r>
        <w:t xml:space="preserve"> </w:t>
      </w:r>
    </w:p>
    <w:p>
      <w:pPr>
        <w:pStyle w:val="Heading2"/>
      </w:pPr>
      <w:r>
        <w:t>Title</w:t>
      </w:r>
    </w:p>
    <w:p>
      <w:r>
        <w:t>Controlled incremental-build reuse with parameterized configuration variation for efficient exploration of large configurable software spaces</w:t>
      </w:r>
    </w:p>
    <w:p>
      <w:r>
        <w:t xml:space="preserve"> </w:t>
      </w:r>
    </w:p>
    <w:p>
      <w:pPr>
        <w:pStyle w:val="Heading2"/>
      </w:pPr>
      <w:r>
        <w:t>Short Hypothesis</w:t>
      </w:r>
    </w:p>
    <w:p>
      <w:r>
        <w:t>Using Pyrobuilds' controlled incremental reuse (parameter projections + deny lists + bounded mutation size) reduces median total wall-clock time for large configuration sweeps by at least 20% relative to standard incremental builds while keeping the empirical false-skip rate ≤ 0.1%.</w:t>
      </w:r>
    </w:p>
    <w:p>
      <w:r>
        <w:t xml:space="preserve"> </w:t>
      </w:r>
    </w:p>
    <w:p>
      <w:pPr>
        <w:pStyle w:val="Heading2"/>
      </w:pPr>
      <w:r>
        <w:t>Related Work</w:t>
      </w:r>
    </w:p>
    <w:p>
      <w:r>
        <w:t>Existing approaches address parts of this problem: traditional build systems and incremental build tools focus on correctness of local rebuilds but do not optimize across large configuration sweeps. Content-addressed storage (CAS) and remote caches speed reuse of identical artifacts but do not handle near-identical configurations. Dynamic dependency discovery methods (system-call tracing, sandbox replay) capture actual I/O but trade coverage for overhead. Surrogate-assisted configuration search and Bayesian optimization reduce the number of full builds by predicting metrics, yet they typically lack provable safety rules for skipping builds and are not integrated with reproducible incremental caches. Prior work also treats configuration variation largely as random sampling or heuristic search without explicit deny lists, mutation-size control, or parameter-projection APIs that keep nodes similar enough for safe reuse. Limitations include: (1) absence of integrated skip-soundness guarantees, (2) limited handling of nondeterminism and undeclared I/O, (3) high discovery cost or low coverage, and (4) weak multi-writer cache coherence semantics in large CI fleets.</w:t>
      </w:r>
    </w:p>
    <w:p>
      <w:r>
        <w:t xml:space="preserve"> </w:t>
      </w:r>
    </w:p>
    <w:p>
      <w:pPr>
        <w:pStyle w:val="Heading2"/>
      </w:pPr>
      <w:r>
        <w:t>Abstract</w:t>
      </w:r>
    </w:p>
    <w:p>
      <w:r>
        <w:t>We present a method to speed up systematic exploration of large software configuration spaces by reusing reproducible incremental builds under controlled variation. The approach (Pyrobuilds) constructs per-build Merkle-style node keys that include a canonical parameter projection (a compact encoding of only the parameters that influence a node). Configuration variation is produced by a mutation operator that is parameterized by deny lists (to exclude known-problematic options) and a mutation-size that bounds how far a candidate configuration may deviate. Lightweight dynamic discovery (eBPF syscall tracing) records I/O; sandbox replay is used when traces indicate nondeterminism or external resources. A Merkle-CAS with signed manifests and two-phase publish provides auditable remote reuse. Surrogate models predict when skips are safe; decisions are only allowed under calibrated high-confidence intervals. The main contribution is the integrated workflow that balances exploration diversity, reproducible reuse, and statistical safety to reduce total build cost while preserving artifact correctness. Expected outcome: substantially fewer full builds for large sweeps with measurable guarantees on false-skip rates.</w:t>
      </w:r>
    </w:p>
    <w:p>
      <w:r>
        <w:t xml:space="preserve"> </w:t>
      </w:r>
    </w:p>
    <w:p>
      <w:pPr>
        <w:pStyle w:val="Heading2"/>
      </w:pPr>
      <w:r>
        <w:t>Experiments</w:t>
      </w:r>
    </w:p>
    <w:p>
      <w:r>
        <w:t>Datasets: three canonical workloads: (A) PEP517 Python package with a native C extension and build-time options, (B) medium CMake/C++ project with conditional features, (C) multi-module JVM Gradle project with feature flags; plus a synthetic configuration generator that can produce up to 100k labeled builds with controlled interaction structure. Baselines: (1) full rebuild for every configuration, (2) standard incremental build without parameter projections or deny lists, (3) incremental build with random config variation (no safety checks), (4) incremental build with surrogate skipping but without deny lists. Pyrobuilds variants: ablations for (a) deny-list on/off, (b) mutation_size ∈ {1,3,10} changed bits/options, (c) discovery mode eBPF vs sandbox replay, (d) surrogate confidence thresholds δ ∈ {1e-2,1e-3,1e-4}, and (e) local-only CAS vs remote Merkle-CAS with two-phase publish. Evaluation metrics: median total wall-clock time for a fixed sweep size, per-configuration wall-clock, per-node cache hit ratio, hashing time, discovery overhead, network I/O for cache transfers, false-skip rate (fraction of skipped nodes producing byte-different outputs), false-rebuild rate (unnecessary rebuilds), and per-node rationale logs. Experimental setup: pinned container images or VMs, fixed CPU governor, deterministic seeds, warm-up runs, paired within-subject blocked randomization; initial N=30 paired repeats for primary tests, increase to N=100 for small-effect detection; statistical analysis with paired bootstrap 95% CIs and Wilcoxon paired tests; measure and report per-ablation comparisons (e.g., deny-list effect, mutation_size effect, discovery-mode effect) and a cost-vs-fidelity curve for surrogate thresholds. For correctness, verify artifact checksums and run small canonical test suites after any skip decision. Report signed manifests and per-run provenance for every measured build.</w:t>
      </w:r>
    </w:p>
    <w:p>
      <w:r>
        <w:t xml:space="preserve"> </w:t>
      </w:r>
    </w:p>
    <w:p>
      <w:pPr>
        <w:pStyle w:val="Heading2"/>
      </w:pPr>
      <w:r>
        <w:t>Risk Factors And Limitations</w:t>
      </w:r>
    </w:p>
    <w:p>
      <w:r>
        <w:t>Incomplete discovered inputs: dynamic tracing may miss some reads (e.g., networked resources, kernel-specific behaviors), violating completeness and causing silent divergence. Nondeterministic tools: builds that embed timestamps, random content, or locale-dependent outputs break deterministic skip assumptions. Remote cache corruption or signature compromise: compromised manifests or artifacts can lead to incorrect reuse. Surrogate model drift and calibration limits: models can become overconfident on out-of-distribution configs, raising false-skip risk. Scalability limits: Merkle-CAS index size, lease management, and reconciliation complexity grow with millions of artifacts and may increase latency and storage costs. Sequencer single point of trust: a central sequencer for global monotonicity can become an availability or DoS risk. eBPF portability and privacy: kernel-version differences affect trace portability; traces may expose sensitive paths. Instrumentation bias: hashing and tracing add runtime overhead that can alter measured speedups if not subtracted. Statistical limits for rare events: achieving reliable guarantees at false-skip rates ≤1e-4 requires very large validation samples and specialized sequential tests, which may be impractical in some settings. Generalization: results on the three canonical workloads may not transfer to very large kernels or highly heterogenous toolchains without additional engineering.</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