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agent_arc_eval</w:t>
      </w:r>
    </w:p>
    <w:p>
      <w:r>
        <w:t xml:space="preserve"> </w:t>
      </w:r>
    </w:p>
    <w:p>
      <w:pPr>
        <w:pStyle w:val="Heading2"/>
      </w:pPr>
      <w:r>
        <w:t>Title</w:t>
      </w:r>
    </w:p>
    <w:p>
      <w:r>
        <w:t>AgentArcEval: a scenario-driven method for evaluating architectures of foundation-model-based agents</w:t>
      </w:r>
    </w:p>
    <w:p>
      <w:r>
        <w:t xml:space="preserve"> </w:t>
      </w:r>
    </w:p>
    <w:p>
      <w:pPr>
        <w:pStyle w:val="Heading2"/>
      </w:pPr>
      <w:r>
        <w:t>Short Hypothesis</w:t>
      </w:r>
    </w:p>
    <w:p>
      <w:r>
        <w:t>Hard symbolic enforcement in agent architectures increases factual precision on constrained factual claims by 8–12 percentage points relative to soft enforcement while reducing recall by no more than 5 percentage points.</w:t>
      </w:r>
    </w:p>
    <w:p>
      <w:r>
        <w:t xml:space="preserve"> </w:t>
      </w:r>
    </w:p>
    <w:p>
      <w:pPr>
        <w:pStyle w:val="Heading2"/>
      </w:pPr>
      <w:r>
        <w:t>Related Work</w:t>
      </w:r>
    </w:p>
    <w:p>
      <w:r>
        <w:t>Existing evaluation approaches either measure model output quality (benchmarks for question answering, reasoning, arithmetic, and dialogue) or assess isolated agent behaviors (tool use, retrieval augmentation, or planning) but rarely evaluate compound agent architectures end-to-end. Retrieval-augmented generation (RAG) evaluations measure gains in factual recall but do not capture architecture-induced traceability or planner-tool interactions. Tool-augmented evaluations show reduced specific error types (e.g., numeric errors) but often omit systematic logging of tool calls and failure attribution. Chain-of-thought and provenance work focus on interpretability but are not standardized for architecture-level comparisons. Safety and adversarial benchmarks test policy violations but usually target model outputs rather than internal architectural choices. Limitations in prior work include: evaluation that treats agents as black-boxs, lack of scenario catalogues for repeatable architecture tests, insufficient provenance scoring, weak handling of non-determinism, and limited statistical designs for causal claims across architecture factors.</w:t>
      </w:r>
    </w:p>
    <w:p>
      <w:r>
        <w:t xml:space="preserve"> </w:t>
      </w:r>
    </w:p>
    <w:p>
      <w:pPr>
        <w:pStyle w:val="Heading2"/>
      </w:pPr>
      <w:r>
        <w:t>Abstract</w:t>
      </w:r>
    </w:p>
    <w:p>
      <w:r>
        <w:t>Foundation-model-based agents combine components such as a base language model, retriever, planner, tool interfaces, and symbolic checks, but current evaluation methods focus on outputs and cannot reliably attribute behavior to architectural choices. We present AgentArcEval, a purpose-built, scenario-driven evaluation method for agent architectures. AgentArcEval pairs a catalogue of general agent scenarios with concrete instance generation, mandatory provenance and chain-of-thought logging, machine-readable adjudication schemas, and pre-registered statistical plans. The method enables controlled factorial experiments (e.g., retrieval vs no-retrieval, planner depth, symbolic enforcement modes) and quantifies effects on factuality, task success, traceability, tool-error rates, latency, and safety violations. The main contribution is an evaluation protocol and dataset/metric suite that supports reproducible, architecture-level causal inference. Expected outcomes include measurable effect-size estimates for common architectural decisions and a publicly shareable scenario catalogue and schema set that allow rigorous comparison of agent designs for responsible and safe deployment.</w:t>
      </w:r>
    </w:p>
    <w:p>
      <w:r>
        <w:t xml:space="preserve"> </w:t>
      </w:r>
    </w:p>
    <w:p>
      <w:pPr>
        <w:pStyle w:val="Heading2"/>
      </w:pPr>
      <w:r>
        <w:t>Experiments</w:t>
      </w:r>
    </w:p>
    <w:p>
      <w:r>
        <w:t>Datasets: NaturalQuestions-open (knowledge QA), HotpotQA (multi-hop reasoning), GSM8K with tool-requiring variants (math/tool use), MultiWOZ with memory-contamination variants (episodic dialogue). Split: deterministic real/synthetic ratios per dataset (e.g., NQ 90/10 real/synthetic). Baselines: FM-only (LLaMA2-13B), FM+RAG (dense retriever DPR/Contriever + FAISS), FM+Planner (planner depths 0,2,4), FM+Tools (deterministic calculator and DB), closed API baseline (GPT-4 family) as reference. Evaluation metrics: claim-level factual precision, recall, F1 (claim = atomic fact span; explain: atomic = smallest factual unit), provenance completeness score {0,1,2}, multi-step success binary and mean per-step partial credit, safety violation rate per 1,000 outputs, tool-error rate, end-to-end latency. Experimental setup: pilot N=100 paired tasks, seeds=3, run per-architecture paired comparisons; full runs use power-derived Ns (e.g., paired N≈200 for 10 pp detection in success rate; paired N≈130 for 10 pp factuality precision). Logging: capture chain-of-thought (CoT), retrieved documents with spans, tool-call traces, planner steps, and component versions. Statistical analysis: primary tests via mixed-effects models with explicit formulas: for binary outcomes use mixed-effects logistic regression outcome ~ architecture + (1|task) + (1|seed); for continuous scores use linear mixed model outcome ~ architecture + (1|task) + (1|seed). Multiple comparisons: hierarchical testing for pre-specified primary contrasts and Benjamini–Hochberg FDR for exploratory contrasts. Ablations: (A) symbolic enforcement modes: none vs soft (penalize) vs hard (reject); (B) retrieval ablation: no-retrieval vs RAG top-k variants; (C) planner depth ablation: reactive (0) vs shallow (1–3) vs deep (&gt;3). Root-cause analysis: for each failure record prompt, top-k retrieval scores, supporting spans, planner trace, and tool call history. Pre-registration: hypotheses, primary endpoints, and analysis code are registered before runs. Explanation of technical terms: mixed-effects model = statistical model that accounts for both fixed effects (architecture) and random effects (task, seed).</w:t>
      </w:r>
    </w:p>
    <w:p>
      <w:r>
        <w:t xml:space="preserve"> </w:t>
      </w:r>
    </w:p>
    <w:p>
      <w:pPr>
        <w:pStyle w:val="Heading2"/>
      </w:pPr>
      <w:r>
        <w:t>Risk Factors And Limitations</w:t>
      </w:r>
    </w:p>
    <w:p>
      <w:r>
        <w:t>Claim-extraction errors: automatic splitting of outputs into atomic claims can produce false positives/negatives, which distort factuality metrics. Annotation bias: human adjudication may vary; inter-rater reliability may be lower for span overlap thresholds. Statistical assumptions: mixed-effects model assumptions (independence, variance structure) may be violated, affecting inference. Power sensitivity: sample-size estimates depend on ICC and seed variance; pilot N=100 may be insufficient to estimate variance components reliably. Non-determinism: hardware and library-level nondeterminism (GPU ops, mixed precision) can prevent exact replay of runs. Compute and cost: large factorial designs require substantial GPU/API budgets and may be infeasible at scale. Adversarial realism: synthetic adversarial perturbations may not match real-world noisy retrievals or attacks, limiting external validity. Generalization limits: results on chosen datasets and model families may not generalize to other domains, languages, or future model versions. Privacy/IRB constraints: provenance and CoT logging may expose sensitive content and restrict human review or public release.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