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refa_devsecops_longitudinal</w:t>
      </w:r>
    </w:p>
    <w:p>
      <w:r>
        <w:t xml:space="preserve"> </w:t>
      </w:r>
    </w:p>
    <w:p>
      <w:pPr>
        <w:pStyle w:val="Heading2"/>
      </w:pPr>
      <w:r>
        <w:t>Title</w:t>
      </w:r>
    </w:p>
    <w:p>
      <w:r>
        <w:t>Staggered cluster-randomized longitudinal evaluation of an IEC 62443-4-1–based DevOps lifecycle (REFA) to measure enforcement effects on security compliance and development lead time</w:t>
      </w:r>
    </w:p>
    <w:p>
      <w:r>
        <w:t xml:space="preserve"> </w:t>
      </w:r>
    </w:p>
    <w:p>
      <w:pPr>
        <w:pStyle w:val="Heading2"/>
      </w:pPr>
      <w:r>
        <w:t>Short Hypothesis</w:t>
      </w:r>
    </w:p>
    <w:p>
      <w:r>
        <w:t>Higher enforcement intensity of security checks in DevOps pipelines (informational-only &lt; blocking at-merge &lt; blocking pre-merge) increases median lead time to merge.</w:t>
      </w:r>
    </w:p>
    <w:p>
      <w:r>
        <w:t xml:space="preserve"> </w:t>
      </w:r>
    </w:p>
    <w:p>
      <w:pPr>
        <w:pStyle w:val="Heading2"/>
      </w:pPr>
      <w:r>
        <w:t>Related Work</w:t>
      </w:r>
    </w:p>
    <w:p>
      <w:r>
        <w:t>Prior work falls into three streams: (1) descriptive studies of DevSecOps adoption that document practices for integrating security tools into CI/CD but rarely measure causal effects on developer workflow; (2) tool- and policy-focused efforts (policy-as-code, SARIF/SPDX outputs, SBOMs) that improve automation and traceability but do not prescribe a full lifecycle aligned to industrial standards; and (3) telemetry studies that measure lead time, remediation latency, and tool noise but typically use observational designs, lack robust linking between findings and commits, and do not integrate qualitative process tracing. Limitations across these approaches include: absence of prescriptive lifecycle models tied to an explicit standard (IEC 62443-4-1 is an industrial control systems security standard), weak causal identification (no preregistered staggered cluster trials), inadequate handling of interference/spillover across teams, limited validation of finding→commit linking, and sparse mixed-methods designs that connect quantitative effect estimates to team-level mechanisms.</w:t>
      </w:r>
    </w:p>
    <w:p>
      <w:r>
        <w:t xml:space="preserve"> </w:t>
      </w:r>
    </w:p>
    <w:p>
      <w:pPr>
        <w:pStyle w:val="Heading2"/>
      </w:pPr>
      <w:r>
        <w:t>Abstract</w:t>
      </w:r>
    </w:p>
    <w:p>
      <w:r>
        <w:t>Organizations adopting DevOps must also satisfy security regulations, but the effects of enforcement intensity on development speed and remediation behavior are unclear. We propose REFA, a prescriptive DevOps lifecycle adapted to IEC 62443-4-1 (an industrial security standard), and evaluate it via a preregistered, staggered cluster-randomized longitudinal study. The study randomizes teams to three enforcement arms (informational-only, blocking at-merge, blocking pre-merge) and measures causal effects on lead time to merge and remediation latency using a cohort-aggregated ATT estimator (Callaway &amp; Sant'Anna) and mixed-effects difference-in-differences models. We combine high-fidelity telemetry (SARIF/SBOM-compatible artifacts, hashed provenance) with manual validation of finding→commit links and a qualitative process-tracing sample to explain mechanisms. The main contribution is an auditable, standards-aligned lifecycle plus a reproducible evaluation protocol that yields actionable estimates of the trade-offs between enforcement intensity and developer velocity. Expected outcome: concrete, generalizable evidence and operational rules that enable cross-functional teams to internalize continuous security compliance while understanding velocity impacts.</w:t>
      </w:r>
    </w:p>
    <w:p>
      <w:r>
        <w:t xml:space="preserve"> </w:t>
      </w:r>
    </w:p>
    <w:p>
      <w:pPr>
        <w:pStyle w:val="Heading2"/>
      </w:pPr>
      <w:r>
        <w:t>Experiments</w:t>
      </w:r>
    </w:p>
    <w:p>
      <w:r>
        <w:t>Datasets: production repositories and CI/CD pipelines from participating organizations; pilot: 10 teams for 6 weeks; full study: 90 teams (30 per arm), 2–4 repos per team, 24-week post-intervention observation. Baselines: status-quo informational-only enforcement and historical pre-intervention period. Arms: (A) informational-only (non-blocking feedback), (B) blocking at-merge, (C) blocking pre-merge. Metrics: primary: median lead time to merge (PR_open to PR_merge), median time-to-remediate (first_finding_timestamp to commit resolving finding confirmed by re-scan). Secondary: findings-per-commit, leakage-to-production (finding surfaced on main after merge), false-positive rate (adjudicated false/triaged within 14 days), remediation ownership (fraction of remediations by author vs security team). Validation: deterministic linking preferring explicit commit_sha; fallback match on (repo, file_path, line_range, CI_timestamp ±30min, run_id, PR_number); hand-label N=200 mappings per scanner type to estimate PPV/NPV (target PPV≥0.95); if PPV&lt;0.95 trigger manual relinking. Models and estimands: primary estimand = cohort-aggregated ATT using Callaway &amp; Sant'Anna (cohort-level aggregation weights as in the estimator default); primary estimator: Callaway &amp; Sant'Anna ATT; sensitivity: Sun &amp; Abraham event-study and stacked-DiD. Mixed-effects DiD specification: outcome_ijt = beta0 + beta1 Treatment_i + beta2 Post_t + beta3 (Treatment_i * Post_t) + X_ijt gamma + u_team_i + v_repo_j + delta_week_t + epsilon_ijt. Covariates X: team_size, primary_language, baseline_finding_rate, repo_age, CI_frequency. Time-varying confounding: primary adjustment via IPTW for a marginal structural model (MSM) with covariate history window = 4 weeks; treatment probabilities estimated by pooled logistic regression. Missing data: multilevel multiple imputation by chained equations (MICE) with m=50 imputations; predictors include past 8-week rolling metrics and static covariates; pool estimates with Rubin's rules. Attrition: assess informative dropout with a joint longitudinal-survival model (shared frailty) as sensitivity. Multiplicity: control familywise error for primary outcomes with Holm-Bonferroni; control FDR (Benjamini-Hochberg) for secondary outcomes. Randomization balance: compute standardized mean differences (SMD) on pre-period covariates; SMD&gt;0.2 triggers prespecified covariate adjustment or inverse-probability weighting. Robustness and inference: 1,000 permutation placebos; wild cluster bootstrap for SEs if cluster count&lt;50; report clustered SE at team level. Ablations: (i) drop telemetry linking (measure using scanner timestamps only), (ii) per-protocol (teams with ≥80% enforcement fidelity) vs ITT, (iii) remove IPTW adjustment to measure bias from time-varying confounding. Linkage uncertainty propagation: incorporate mapping PPV/NPV into bootstrap samples and report interval widening.</w:t>
      </w:r>
    </w:p>
    <w:p>
      <w:r>
        <w:t xml:space="preserve"> </w:t>
      </w:r>
    </w:p>
    <w:p>
      <w:pPr>
        <w:pStyle w:val="Heading2"/>
      </w:pPr>
      <w:r>
        <w:t>Risk Factors And Limitations</w:t>
      </w:r>
    </w:p>
    <w:p>
      <w:r>
        <w:t>Interference and spillover: cross-team PRs, shared repos, and knowledge transfer can violate no-interference assumptions and bias ATT. Measurement/linkage error: imperfect mapping from findings to commits may misclassify remediation and bias time-to-remediate. Telemetry-induced behavior change: instrumentation or enforcement may alter developer behavior (Hawthorne effect). Missing data and attrition: informative dropout at team level can bias longitudinal estimates; MNAR mechanisms are plausible. Time-varying confounding: unmeasured time-dependent covariates (e.g., urgent releases) may confound treatment effects. Sample and power limits: cluster sizes, unequal cluster sizes, or low compliance reduce precision. External validity: results from participating organizations and IEC 62443-4-1 contexts may not generalize to all domains or smaller teams. Privacy and governance constraints: hashing and encryption limit data granularity available for sharing; embargo restrictions reduce reproducibility. Computation and storage: high-volume telemetry, SARIF/SBOM artifacts, and bootstrap/permute inference impose compute and storage needs. Behavioral complexity: mechanisms (ownership, triage workflows, workaround creation) may vary and be hard to fully capture with available metrics.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