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Preference-conditioned actor-critic framework for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each agent's actor and a centralized critic on a continuous preference vector and using a multi-headed actor architecture enables a single neural policy per agent to represent Pareto-optimal trade-offs and yields higher held-out hypervolume and lower critic estimation error than training separate policies per preference.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multi-objective reinforcement learning (MORL) either learn separate policies per scalarization or use preference-conditioning in single-agent settings; they rarely address continuous multi-agent control. Multi-agent RL (MARL) with centralized training and decentralized execution (CTDE) often uses centralized critics for stability but typically optimizes a single scalar reward or per-agent objectives rather than a family of preference-conditioned objectives. Actor-critic methods for continuous control (e.g., DDPG, TD3) provide sample-efficient off-policy updates, but existing MORL extensions either operate in discrete action spaces, require separate models per preference, or lack principled off-policy corrections for preference-switched replay. Off-policy corrections such as importance sampling or Retrace/V-trace exist, but their behavior with preference-conditioned, joint-action multi-agent data is under-explored. Limitations include: (1) scaling to many agents and objectives, (2) representing full Pareto fronts inside a single policy without loss, (3) bias/variance from naive importance weighting on replayed, preference-tagged transitions, and (4) weak empirical standards for held-out preference generalization.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learning flexible continuous-control policies for multi-agent systems that must trade off multiple objectives (for example speed versus energy versus safety). We propose a preference-conditioned actor-critic framework where each agent uses a multi-headed actor network (multiple output heads conditioned by a preference vector) and training relies on a centralized critic that takes joint state, joint action, and preference inputs. The framework is instantiated with continuous-control off-policy algorithms (TD3 and DDPG variants) and attaches the sampled preference vector to every replayed transition so that a single neural policy per agent can encode a Pareto front of trade-offs. Main contributions are: (1) an algorithmic design combining multi-headed actors, centralized critics, and preference-conditioning for continuous multi-objective multi-agent RL, (2) precise off-policy replay semantics including clipped and normalized importance weights with Retrace-style targets, and (3) an evaluation protocol with held-out preference testing and a minimal continuous control benchmark. We expect this approach to enable compact policy representations of Pareto-optimal behaviors and improved held-out preference generalization compared to per-preference training.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1) Minimal reproducible benchmark: cooperative heterogeneous load-transport in MuJoCo (N=3 agents: two wheeled UGVs + one quadrotor), state dim ≈120, per-agent action dim 2–4, objectives m=4 (completion time, total energy, max payload stress, collisions). 2) Synthetic linear-MDP unit test to validate finite-sample scalings (controlled features φ with tunable κ and noise). Baselines: (A) independent per-preference policies (train separate DDPG/TD3 for a set of preference vertices), (B) multi-headed actor without centralized critic, (C) centralized critic without preference-conditioning, (D) decentralized per-agent critics with preference-conditioning. Off-policy variants compared: no IS, clipped IS (ρ_max=10), Retrace(λ=0.9), V-trace variant. Scalarization comparisons: linear scalarization vs a small set of non-linear scalarizers (e.g., weighted product). Metrics: hypervolume (HV) of obtained objective vectors (HV = volume in objective space dominated by solutions; higher is better), inverted generational distance (IGD), held-out TD estimation error on (s,a,w), critic tracking lag (||ψ_t − ψ̂(θ_t)||), gradient variance, sample complexity (steps to reach HV threshold). Experimental setup: 10 random seeds, training 500k environment steps per seed, minibatch size 256, evaluate on a held-out grid of 25 preference vectors (never seen in training) with 20 episodes per held-out w, evaluation every 50k steps. Ablations: critic feature dims {32,128,512}, LR ratio α_c/α_a ∈ {3,10}, IS scheme (none/clipped/Retrace/V-trace), centralized vs per-agent critic, scalarization linear vs non-linear. Report mean and 95% bootstrap CI for HV and IGD; perform Wilcoxon tests with Holm correction for pairwise comparisons.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Assumptions and coverage: theory assumes geometric mixing and a uniform feature covariance lower bound κ&gt;0 (κ is the smallest eigenvalue of E[φφ^T]); in real multi-agent continuous control κ may approach zero for some preferences, invalidating finite-sample guarantees. Nonstationarity: changing policies of other agents can break ergodicity and increase variance. Importance-weighting risks: clipped and normalized IS can introduce bias in policy gradients (bias magnitude depends on how often ρ is clipped), and Retrace/V-trace interactions with joint-action traces may be complex. Scalability limits: centralized critics grow with joint action/state dimensionality (computational and memory costs increase quickly with N), and multi-headed actors may struggle to encode very high-dimensional Pareto fronts. Evaluation limits: held-out preference coverage may not reflect all user preferences; statistical power requires many seeds (10–20) and compute. Reproducibility constraints: results depend on simulator versions, solver tolerances, and deterministic seeding; unit tests and pinned containers are required for exact replication. Generalization: success on the proposed benchmark may not transfer to highly adversarial or very large-agent settings.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