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frequency_filtering_metadescriptor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Frequency-filtering metadescriptors for identifying concepts in nonstationary data streams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Filtering frequency components of sample feature vectors by their across-batch variance to form frequency-domain metadescriptors increases concept-clustering quality (higher adjusted rand index) on nonstationary data streams compared to clustering on raw features.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to handling nonstationary data streams include time-domain concept-drift detectors and statistical change-point tests, spectral/time–frequency methods (STFT, multitaper, reassignment, synchrosqueezing) for representing nonstationary signals, ridge-extraction and AM–FM tracking for instantaneous-frequency estimation, dimensionality-reduction and representation learning (PCA, autoencoders, learned embeddings) for compact descriptors, and meta-learning methods that use meta-features to characterize tasks. Limitations: time-domain drift detectors often miss structured spectral changes; raw TF representations are high-dimensional, noisy, and sensitive to windowing and noise color; ridge and AM–FM tracking methods target continuous latent modes but do not directly produce low-dimensional, batch-level descriptors for concept grouping; learned embeddings can require labeled data and may not preserve interpretable spectral semantics; clustering in high-dimensional TF space suffers from instability and poor separation under rapid drift or component crossings. Unresolved issues include principled frequency-component selection across streaming batches, variance-stable metafeatures that preserve semantic meaning, and calibrated uncertainty for frequency-based descriptors in colored-noise and crossing scenarios.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the problem of identifying and grouping concepts in nonstationary data streams by describing samples in the frequency domain. We propose a frequency-filtering metadescriptor that (1) computes frequency-domain representations of sample feature vectors, (2) selects informative frequencies whose energy varies across data batches, and (3) aggregates the selected components into low-dimensional metadescriptions. The metadescriptors are designed to separate data chunks into concept-specific groups while preserving semantic meaning and enabling visualization in the original spatial domain. Main contributions are: a simple, batch-aware frequency-selection rule based on across-batch variance; a compact metadescriptor that reduces dimensionality while emphasizing concept-discriminative spectral content; and a reproducible evaluation suite with seeded synthetic presets and representative real recordings. Expected outcomes are improved clustering and concept-identification metrics under concept drift, interpretable visualizations linked to original features, and a benchmarked, reproducible pipeline for comparing frequency-based metadescriptors to time-domain and learned baselines.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Seeded synthetic AM–FM generator with three presets (Easy S, Medium S+1, Hard S+2) matching windowed STFT regimes; each preset: ≥100 deterministic seeds, durations 5s, f_s in {2000,8000} Hz, K∈{1..4}, SNR ∈ {−10,0,10,20,30} dB, colored/noise types {white,1/f,AR(1)} and controlled δf separations. (B) Real recordings: curated radar micro-Doppler demos (human/vehicle motions) and wireless fading-channel captures with annotated events. Baselines: (1) k-means on raw input features, (2) PCA (retain 95% variance) + k-means, (3) STFT energy bins without variance filtering + clustering, (4) learned front-end embedding (CNN) + clustering, (5) classical pipeline STFT+multitaper+synchrosqueezing+ridge extraction+UKF (where IF ground truth available). Proposed method: compute per-sample frequency vectors, compute per-frequency variance across batches, select top-n frequencies or those above variance threshold, aggregate (e.g., mean/percentile) into metadescriptor, then cluster. Evaluation metrics: adjusted rand index (ARI), clustering purity, F1 for concept detection (time-aligned), silhouette score, reconstruction MSE for low-dimensional back-projection, instantaneous-frequency RMSE (when AM–FM ground truth available), runtime per block (median, 95th percentile), peak memory, and uncertainty coverage for any reported credible intervals. Protocol: pilot ≥30 trials per cell, final ≥100 seeds per preset, nonparametric bootstrap with 1000 resamples for 95% CI, Hungarian matching for time-frequency alignment when needed. Hyperparameters and ablations: vary variance-threshold percentile (top 1%, 5%, 10%), fixed top-n frequencies (n∈{5,10,20}), batch size for variance estimation (batches of 16, 64, 256 samples), multitaper vs single-taper energy, and inclusion/exclusion of phase-derived features. Report per-method mean and 95% CI for each metric and perform paired Wilcoxon signed-rank tests with BH correction. Include one ablation that removes variance filtering (select by absolute energy) to isolate the effect of variance-based selection.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(1) rapid concept drift or very fast chirp rates that violate STFT window assumptions, producing smeared TF energy and invalid frequency selection; (2) closely spaced or crossing components causing ambiguous frequency peaks and misleading variance statistics; (3) non-Gaussian distribution of magnitude-squared TF bins (chi-square-like) which invalidates Gaussian likelihood assumptions used by some downstream estimators. Data and evaluation biases: synthetic presets may not capture real-world noise coloration and nonstationarity, causing synthetic-to-real transfer gap; clustering metrics (ARI, purity) are sensitive to label granularity and chosen distance metric. Scalability and compute limits: computing dense TF representations and per-frequency variance over large batches increases memory and CPU/GPU cost; RBPF-style inference or large ensemble uncertainty methods are expensive under tight latency. Limits to generalization: method relies on meaningful frequency structure in features — domains without stable spectral signatures will not benefit; frequency selection by batch variance can be sensitive to batch composition, producing unstable metadescriptors if batches mix concepts unevenly. No mitigations are included in this section.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