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sim2exp_ssda_concrete</w:t>
      </w:r>
    </w:p>
    <w:p>
      <w:r>
        <w:t xml:space="preserve"> </w:t>
      </w:r>
    </w:p>
    <w:p>
      <w:pPr>
        <w:pStyle w:val="Heading2"/>
      </w:pPr>
      <w:r>
        <w:t>Title</w:t>
      </w:r>
    </w:p>
    <w:p>
      <w:r>
        <w:t>Self-supervised domain adaptation using simulated coda-wave data and joint adversarial-contrastive learning for concrete damage classification</w:t>
      </w:r>
    </w:p>
    <w:p>
      <w:r>
        <w:t xml:space="preserve"> </w:t>
      </w:r>
    </w:p>
    <w:p>
      <w:pPr>
        <w:pStyle w:val="Heading2"/>
      </w:pPr>
      <w:r>
        <w:t>Short Hypothesis</w:t>
      </w:r>
    </w:p>
    <w:p>
      <w:r>
        <w:t>Using large-scale labeled synthetic coda-wave signals from physics-based multiscale simulations together with a self-supervised domain adaptation pipeline (domain adversarial training + minimum class confusion + BYOL) will increase per-class F1 score on unlabeled experimental concrete measurements by at least 5 percentage points relative to a model trained only on simulated data.</w:t>
      </w:r>
    </w:p>
    <w:p>
      <w:r>
        <w:t xml:space="preserve"> </w:t>
      </w:r>
    </w:p>
    <w:p>
      <w:pPr>
        <w:pStyle w:val="Heading2"/>
      </w:pPr>
      <w:r>
        <w:t>Related Work</w:t>
      </w:r>
    </w:p>
    <w:p>
      <w:r>
        <w:t>Existing approaches address simulation-to-real transfer either by domain adaptation or by making simulations more realistic. Domain adversarial methods (which train a model to produce features indistinguishable between domains) reduce global domain shift but often misalign class boundaries. Contrastive and self-supervised methods (which learn representations without labels) improve feature robustness but can fail to preserve class separability in the target domain. Pseudo-label self-training can expand labeled target data but suffers from confirmation bias when pseudo-labels are noisy. Style-transfer and image-level domain randomization can hide simulation artifacts but may introduce spurious cues or fail to model sensor physics. Multimodal fusion methods combine sensors (e.g., acoustic + imaging) but are sensitive to synchronization and registration errors. Prior work seldom publishes per-class calibration, numeric gates for stylization or pseudo-labeling, or full reproducibility artifacts (seeds, full data generative model, container images), leaving gaps in evaluation rigor and robustness.</w:t>
      </w:r>
    </w:p>
    <w:p>
      <w:r>
        <w:t xml:space="preserve"> </w:t>
      </w:r>
    </w:p>
    <w:p>
      <w:pPr>
        <w:pStyle w:val="Heading2"/>
      </w:pPr>
      <w:r>
        <w:t>Abstract</w:t>
      </w:r>
    </w:p>
    <w:p>
      <w:r>
        <w:t>We address concrete damage classification from ultrasonic coda-wave measurements where labeled experimental data are scarce. We propose a pipeline that couples a physics-driven virtual testing platform—which generates large labeled synthetic coda-wave datasets via multiscale concrete degradation and ultrasonic propagation simulations—with a self-supervised domain adaptation (SSDA) framework that combines domain adversarial training, minimum class confusion loss, and BYOL (a self-supervised representation learner). BYOL (a method that learns representations by predicting one view of the data from another) builds robust features without labels; domain adversarial training aligns global distributions; minimum class confusion preserves class separation. The main contribution is an operational SSDA recipe that reduces reliance on experimental labels by transferring discriminative, calibrated representations from simulation to experiment. Expected outcomes are statistically significant per-class F1 improvements on real specimens, improved calibration of predicted probabilities, and a reproducible artifact set enabling reruns of the pipeline.</w:t>
      </w:r>
    </w:p>
    <w:p>
      <w:r>
        <w:t xml:space="preserve"> </w:t>
      </w:r>
    </w:p>
    <w:p>
      <w:pPr>
        <w:pStyle w:val="Heading2"/>
      </w:pPr>
      <w:r>
        <w:t>Experiments</w:t>
      </w:r>
    </w:p>
    <w:p>
      <w:r>
        <w:t>Datasets: 1) Synthetic (source): physics-based virtual testing platform generating 200,000 labeled coda-wave samples across multiscale degradation scenarios and 4 damage classes; synthetic metadata includes material priors, crack geometry, sensor noise models. 2) Experimental (target): multimodal real measurements from laboratory specimens totaling 3,200 unlabeled samples (800 per class target distribution) collected with AE, ultrasonic A-scans, RGB/DIC, and thermography; plus a labeled calibration holdout of 800 samples (200 per class) reserved for temperature-scaling and validation. Baselines: source-only (train on synthetic only), DANN (domain adversarial neural network), CDAN (conditional DANN), Mean Teacher (consistency-based self-training), FixMatch-adapted (consistency + pseudo-labeling), MMD/CORAL alignment, ADDA (adversarial discriminative domain adaptation), and oracle supervised target (fully labeled target). Metrics: primary = per-class F1 (report with 95% CI); secondary = precision, recall, overall accuracy, Expected Calibration Error (ECE) per class, AUC for OOD detection, MMD/CORAL domain gap on learned features, confusion matrices with intervals. Setup: model = ResNet-50 encoder (alternative: ResNet-18 for smoke runs), 2-layer projector (2048→128), classifier head per class; seeds = {42,7,123,2021,999}; optimizer SGD momentum 0.9, encoder LR 0.01 with linear warmup 5 epochs and cosine decay, weight decay 1e-4, batch 256 (or 128 if memory-limited). Training stages: Stage A (pretrain) 100 epochs, Stage B (adapt) 200 epochs, Stage C (self-training) 100 epochs. Repeat each experiment across 5 seeds. Ablations: (A) remove BYOL, (B) remove minimum class confusion, (C) remove adversarial loss, (D) no uncertainty filtering on pseudo-labels, (E) ensemble size sweep {3,5,7}, (F) stylization vs physics-based corruptions, (G) multimodal fusion ablation (drop modalities one at a time). Report compute budget: full-pipeline baseline ~288 GPU-hours; CI smoke-test: 1-epoch ResNet-18 run on 10% pilot data. All experiments must save Dockerfile, DVC dataset pointers, checkpoints, and training logs.</w:t>
      </w:r>
    </w:p>
    <w:p>
      <w:r>
        <w:t xml:space="preserve"> </w:t>
      </w:r>
    </w:p>
    <w:p>
      <w:pPr>
        <w:pStyle w:val="Heading2"/>
      </w:pPr>
      <w:r>
        <w:t>Risk Factors And Limitations</w:t>
      </w:r>
    </w:p>
    <w:p>
      <w:r>
        <w:t>1) Domain gap too large: simulated physics may omit real sensor artifacts or material variability, causing adaptation to fail. 2) Pseudo-label confirmation bias: noisy pseudo-labels can reinforce errors, degrading target performance. 3) Stylization artifacts: style-transfer can introduce spurious cues that hurt generalization. 4) Class imbalance: rarer damage modes may receive poor calibration and low per-class recall. 5) Sensor synchronization and registration errors: multimodal fusion degrades if temporal or spatial alignment thresholds are not met. 6) Compute limits: ensemble uncertainty methods and large hyperparameter sweeps may exceed available GPU-hours. 7) Reproducibility gaps: incomplete release of generative simulation parameters, seeds, or data versions prevents exact reruns. 8) Limited generalization: models trained on lab specimens may not generalize to field structures or different concrete mixes. 9) Evaluation bias: aggregate metrics (macro F1) can mask per-class failures; calibration methods may perform inconsistently across modalities and classes.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