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locomamba_mamba_fusion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Vision-driven quadrupedal locomotion via end-to-end deep reinforcement learning with selective state-space MAMBA fusion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end-to-end policy that fuses proprioceptive states and depth images using MAMBA selective state-space layers and is trained with PPO will improve sample efficiency by &gt;=20% and reduce fall rate by &gt;=15% on held-out terrains within 10M environment steps compared to an otherwise-identical policy using standard (non-selective) fusion.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vision-driven locomotion uses either direct end-to-end deep RL from images and proprioception or modular pipelines with separate perception and control. Methods that fuse modalities typically use concatenation, MLPs, or transformer attention; these approaches can be sensitive to appearance changes, scale poorly with long contexts or high token counts (attention is quadratic in token length), and often learn short-horizon latent dynamics only. Selective state-space and state-space models (SSMs) have been applied for long-horizon temporal modeling, but existing SSMs are not widely used as cross-modal fusion backbones. Model-based imagination and ensemble dynamics improve sample efficiency but introduce rollouts that must be filtered for disagreement. Domain randomization is used to improve sim-to-real transfer but lacks principled mapping from system‑ID outputs to DR priors in many pipelines. Unresolved issues include: (1) robust, low-cost cross-modal fusion that scales with image token length; (2) long-horizon foresight in fused representations without prohibitive compute; (3) principled calibration of OOD and ensemble-disagreement detectors for safe fallback.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introduce Locomamba, an end-to-end framework for vision-driven quadrupedal locomotion that fuses proprioception and depth imagery through MAMBA, a selective state-space model used as a cross-modal fusion backbone. The method embeds proprioceptive states and patchified depth tokens, then applies stacked selective SSM layers to produce fused features that support immediate state estimates and look-ahead predictions while keeping compute and memory near-linear in token length. The policy head is trained end-to-end with PPO on MAMBA-fused features, combined with diverse domain randomization, an obstacle-density curriculum, and a compact state-centric reward emphasizing progress, energy efficiency, and safety. Main contributions are: (1) demonstration that selective SSM fusion yields long-horizon, robust representations for locomotion; (2) an integrated training recipe (end-to-end RL + ensemble rollouts + calibrated disagreement filtering) that improves sample efficiency; and (3) a safety and evaluation suite for detector calibration and hardware-ready fallbacks. Expected outcome: policies that generalize better to unseen terrains and appearance changes while reducing training cost and unsafe behaviors.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environments: (1) Training set: procedurally generated simulated terrains with randomized textures, slopes, roughness, and obstacle densities; visual appearance randomized per episode (brightness ±40%, blur σ∈[0,2.5]); actuator and sensor wrappers randomized per episode as specified. (2) Held-out test set: novel terrains with unseen obstacle layouts and appearance distributions. (3) Stress set: adversarial cases (latency spikes up to 100 ms, stuck-joint injections p=0.01, extreme friction μ∈{0.2,1.5}, 500 ms camera blackout). Optional: hardware transfer validation on a single quadruped for final checkpoints. Baselines: (A) proprioception-only policy; (B) full-fusion MLP (concatenate z and p); (C) transformer-attention fusion (standard attention); (D) GRU temporal fusion; (E) MAMBA without selective read/write (ablation). Metrics: sample efficiency (env steps to reach fixed success threshold), episodic fall rate, mean episodic reward, cost of transport (energy), COM lateral deviation, number of unsafe triggers, time-to-fallback, OOD detector ROC (AUC), and calibration curves. Training setup: PPO end-to-end on MAMBA-fused features; pilot: 5 seeds per condition, 3M env steps; confirmatory: 12 seeds, 10M env steps; batch size 256; replay size 1e6 where applicable; ensemble M=5 for latent dynamics. Ablations: memory on vs off, attention type (transformer vs GRU), imagined rollouts on vs off, IB β ∈ {0.05,0.2,0.5}; for each ablation run 5 pilot seeds. Statistical analysis: report mean ±95% CI, ANOVA across groups, pairwise Welch t-tests with Bonferroni correction, and Cohen’s d effect sizes. Sensitivity studies: sweep Mahalanobis p ∈ {1e-4,1e-3,1e-2}, σ_lat_norm ∈ {0.08,0.12,0.16}, var_Q ∈ {0.3,0.5,0.8}, and imagined fraction ∈ {0.25,0.5} and record safety metrics (MDR, FAR, FSR) and performance to select operating points.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Simulation-to-real gap: randomized visuals and actuator wrappers may not capture all real-world failure modes, causing transfer failures. Detector calibration drift: OOD and ensemble-disagreement thresholds tuned offline can degrade during long training or hardware aging. Compute and storage: ensembles, high-resolution vision tokens, and multiple seeds require substantial GPU hours and ~1 TB storage per major run. Prototype/slot drift: memory prototypes updated by EMA and reclustering can drift or collapse, reducing usefulness. Ensemble failure modes: correlated ensemble errors can produce overconfident imagined rollouts and unsafe policy updates. Limited interpretability: fused SSM features may be hard to interpret for debugging. Safety on hardware: fallback controller guarantees depend on low-latency detection and validated impedance gains; missed detections can cause falls. Statistical power: larger-than-expected variance may require more seeds or steps than planned. Generalization limits: policies may still fail on out-of-distribution terrain topologies not represented in DR priors.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