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adapkooppc_mixed_traffic</w:t>
      </w:r>
    </w:p>
    <w:p>
      <w:r>
        <w:t xml:space="preserve"> </w:t>
      </w:r>
    </w:p>
    <w:p>
      <w:pPr>
        <w:pStyle w:val="Heading2"/>
      </w:pPr>
      <w:r>
        <w:t>Title</w:t>
      </w:r>
    </w:p>
    <w:p>
      <w:r>
        <w:t>Adaptive deep Koopman predictive control for mitigating traffic oscillations in mixed human-automated vehicle flow</w:t>
      </w:r>
    </w:p>
    <w:p>
      <w:r>
        <w:t xml:space="preserve"> </w:t>
      </w:r>
    </w:p>
    <w:p>
      <w:pPr>
        <w:pStyle w:val="Heading2"/>
      </w:pPr>
      <w:r>
        <w:t>Short Hypothesis</w:t>
      </w:r>
    </w:p>
    <w:p>
      <w:r>
        <w:t>Embedding an adaptive deep Koopman linear representation of heterogeneous human-driven vehicle dynamics into a model predictive control (MPC) for connected automated vehicles (CAVs) reduces measurable traffic oscillation energy by at least 10% compared to baseline non-adaptive controllers under the same scenario families.</w:t>
      </w:r>
    </w:p>
    <w:p>
      <w:r>
        <w:t xml:space="preserve"> </w:t>
      </w:r>
    </w:p>
    <w:p>
      <w:pPr>
        <w:pStyle w:val="Heading2"/>
      </w:pPr>
      <w:r>
        <w:t>Related Work</w:t>
      </w:r>
    </w:p>
    <w:p>
      <w:r>
        <w:t>Prior approaches toward oscillation mitigation include model-based controllers that linearize car-following dynamics and centralized MPCs, rule-based or heuristic CAV controllers, operator-theoretic methods such as Extended Dynamic Mode Decomposition (EDMD) and Koopman linearization, and recent deep-learning based Koopman or latent-dynamics predictors. Existing MVC/MPC and Koopman efforts show improved prediction or control in restricted settings but face limitations: handcrafted linearizations break under strong nonlinearity and driver heterogeneity; EDMD requires carefully chosen observables and does not scale easily with many heterogeneous agents; deep Koopman predictors often lack identifiability diagnostics and robust finite-sample guarantees; prior MPC integrations rarely provide calibrated residual uncertainty sets (W) that cover heavy tails or temporal dependence; distributed MPC proposals often omit convergence guarantees under realistic packet drops and staleness. These gaps limit scalable, real-time, certified control for mixed traffic.</w:t>
      </w:r>
    </w:p>
    <w:p>
      <w:r>
        <w:t xml:space="preserve"> </w:t>
      </w:r>
    </w:p>
    <w:p>
      <w:pPr>
        <w:pStyle w:val="Heading2"/>
      </w:pPr>
      <w:r>
        <w:t>Abstract</w:t>
      </w:r>
    </w:p>
    <w:p>
      <w:r>
        <w:t>We address mitigation of stop-and-go oscillations in mixed traffic comprising human-driven vehicles (HDVs) and connected automated vehicles (CAVs). We propose an adaptive deep Koopman predictive control framework that (1) learns a locally structured, linear latent dynamics representation of heterogeneous car-following behavior from naturalistic and calibrated synthetic data using an adaptive encoder (AdapKoopNet), (2) quantifies residual uncertainty via a hybrid ellipsoidal plus scenario-informed tail procedure, and (3) embeds the learned linear model and uncertainty set into a model predictive control (MPC) with LMI-based certificates for an invariant terminal set and robust tube. The main contribution is a reproducible pipeline that connects data-driven Koopman lifts, multivariate tail calibration, identifiability diagnostics, and certified real-time MPC for scalable CAV coordination. Expected outcomes are measurable reductions in oscillation energy and headway variance, practical rules for latent-dimension and neighborhood selection, and deployable templates for distributed MPC under timing constraints.</w:t>
      </w:r>
    </w:p>
    <w:p>
      <w:r>
        <w:t xml:space="preserve"> </w:t>
      </w:r>
    </w:p>
    <w:p>
      <w:pPr>
        <w:pStyle w:val="Heading2"/>
      </w:pPr>
      <w:r>
        <w:t>Experiments</w:t>
      </w:r>
    </w:p>
    <w:p>
      <w:r>
        <w:t>Datasets: (1) Naturalistic driving segments from public freeway datasets filtered to platoon traces (sampled at 10 Hz). (2) Synthetic scenarios generated by calibrated microscopic models (IDM and OVM) with parameter distributions for driver heterogeneity (cautious/typical/aggressive), seeded randomness, and event disturbances. Partition: train/val/test by scenario family (train: mid-density mixes; val: unseen densities and AV penetrations; test: extreme densities, high disturbances). Baselines: uncontrolled human-only traffic; rule-based CAV controller (cruise + spacing); centralized linearized-MPC using analytic linearization; EDMD-based Koopman MPC; non-adaptive deep-Koopman MPC (frozen lift). Metrics: oscillation energy (speed variance integrated over space/time and power spectral density peak), headway variance, throughput (vehicles/hour), safety violations (min spacing/time-headway breaches), closed-loop cost (MPC objective), constraint violation probability, average local QP solve time and median latency. Experimental setup: adopt default risk levels α=0.05, ε=0.05, β=0.01; residual tail-fitting uses POT-GP with 95th percentile threshold and declustering window (block-POT, block size chosen by extremal-index estimator). For multivariate residuals compute radial exceedances and map to an ellipsoidal W via spectral-angular decomposition (code unit tests required). Control: horizon N=10, neighborhood size ∈ {1,2,3}, per-vehicle latent dims ∈ {2,3,4}, distributed neighbor-exchange ADMM variant with timeouts T_comm ≤ control_period/3 and fallback K_safe. Statistical protocol: pilot 50 Monte Carlo runs per condition to estimate variance, followed by main 200 runs per condition; report mean ± 95% CI; apply multiple-comparison correction (Benjamini-Hochberg) across scenario sweeps. Ablations: (A) latent dimension selection (d sweep) to show trade-off; (B) tail treatment: POT-GP vs empirical-only vs no-tail inflation; (C) adaptive vs frozen Koopman (online adaptation limited to ≤1e4 params); (D) centralized vs distributed MPC (ADMM staleness and packet-drop sweep). Deliverables: training/validation logs, identifiability diagnostics (Gramian SVD, Hankel spectrum, J_phi^T J_phi), residual-scaling plots (residual norm vs N and d), LMI certificate outputs, and embedded timing profiles on representative hardware.</w:t>
      </w:r>
    </w:p>
    <w:p>
      <w:r>
        <w:t xml:space="preserve"> </w:t>
      </w:r>
    </w:p>
    <w:p>
      <w:pPr>
        <w:pStyle w:val="Heading2"/>
      </w:pPr>
      <w:r>
        <w:t>Risk Factors And Limitations</w:t>
      </w:r>
    </w:p>
    <w:p>
      <w:r>
        <w:t>Non-iid and temporally dependent residuals: extreme-value methods assume weak dependence; serial dependence can bias GP tail fits and produce optimistic W. Multivariate tail dependence: mapping marginal tails to a conservative multivariate ellipsoid is nontrivial and can under- or over-estimate joint extremes. Identifiability failure: finite-dimensional Koopman lifts may be non-injective on the operational manifold, causing poor predictions and failed observability diagnostics. Model bias and heavy tails: biased or misspecified training data change residual scaling and invalidate O(1/√N) assumptions. Computational limits: large latent dimension or neighborhood size can make LMIs and QPs slow, breaching real-time budgets on embedded hardware. ADMM and network issues: packet drops and staleness may prevent convergence and require verified fallback controllers; tuning parameters (ρ, relaxation, τ_max) must be validated. Generalization limits: controllers trained on synthetic or historic data may not transfer to novel road geometries, weather, or extreme driver behaviors. Evaluation bias: multiple comparisons across many scenarios require pre-registered endpoints and corrections to avoid false positives.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