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hypergraph_ssm_node_class</w:t>
      </w:r>
    </w:p>
    <w:p>
      <w:r>
        <w:t xml:space="preserve"> </w:t>
      </w:r>
    </w:p>
    <w:p>
      <w:pPr>
        <w:pStyle w:val="Heading2"/>
      </w:pPr>
      <w:r>
        <w:t>Title</w:t>
      </w:r>
    </w:p>
    <w:p>
      <w:r>
        <w:t>Hypergraph neural network with state-space model fusion for node classification</w:t>
      </w:r>
    </w:p>
    <w:p>
      <w:r>
        <w:t xml:space="preserve"> </w:t>
      </w:r>
    </w:p>
    <w:p>
      <w:pPr>
        <w:pStyle w:val="Heading2"/>
      </w:pPr>
      <w:r>
        <w:t>Short Hypothesis</w:t>
      </w:r>
    </w:p>
    <w:p>
      <w:r>
        <w:t>Integrating role-aware hypergraph embeddings with adjacency-based embeddings using a learnable transformer-like fusion together with hyperedge-level state-space model (SSM) summarizers yields higher node classification accuracy than adjacency-only GNNs with matched parameter counts on standard hypergraph datasets.</w:t>
      </w:r>
    </w:p>
    <w:p>
      <w:r>
        <w:t xml:space="preserve"> </w:t>
      </w:r>
    </w:p>
    <w:p>
      <w:pPr>
        <w:pStyle w:val="Heading2"/>
      </w:pPr>
      <w:r>
        <w:t>Related Work</w:t>
      </w:r>
    </w:p>
    <w:p>
      <w:r>
        <w:t>Prior work on graph learning falls into several groups. Clique-expansion and pairwise GNNs transform hyperedges into pairwise edges then apply standard GNNs; this can lose higher-order interaction information and blur distinct group roles. Hypergraph neural networks directly model incidence relations (nodes connected to hyperedges) but many methods use permutation-invariant set aggregators that cannot capture ordered or role-dependent member effects and can over-smooth when stacked deeply. Set models (DeepSets, SetTransformer) handle unordered sets but do not model higher-order topology over the whole hypergraph. State-space models (SSMs) such as S4 are recent sequence models that capture long-range dependencies with good efficiency, but they have not been widely integrated as hyperedge summarizers in hypergraph encoders. Methods for ordering or canonicalizing set inputs exist (sorting networks, Sinkhorn relaxations, relative positional encodings), but tradeoffs between expressivity and strict permutation invariance remain unresolved. Scalability and instability concerns (giant hyperedges, exploding/vanishing internal states) are open issues across existing approaches.</w:t>
      </w:r>
    </w:p>
    <w:p>
      <w:r>
        <w:t xml:space="preserve"> </w:t>
      </w:r>
    </w:p>
    <w:p>
      <w:pPr>
        <w:pStyle w:val="Heading2"/>
      </w:pPr>
      <w:r>
        <w:t>Abstract</w:t>
      </w:r>
    </w:p>
    <w:p>
      <w:r>
        <w:t>We address node classification on hypergraphs by combining role-aware hypergraph structure with sequence-aware summarization. We construct hypergraphs that encode node roles and adjacency relations, compute role-based and adjacency-based embeddings, and fuse them using a learnable transformer-like module. For each hyperedge we apply a state-space model (SSM) as a sequence summarizer to capture ordered or role-dependent member effects; hypergraph convolution layers propagate these summaries across the bipartite node–hyperedge graph. Residual connections and layer normalization are included to reduce over-smoothing and stabilize training. The main contribution is HGMN: a hybrid hypergraph encoder that (1) integrates role-aware features, (2) uses SSMs to model intra-hyperedge sequences, and (3) employs a learnable fusion layer to combine multiple embedding views. We expect HGMN to produce richer node representations and to improve node classification accuracy and calibration on datasets with meaningful higher-order relations, while remaining compatible with sparse, incidence-based computation.</w:t>
      </w:r>
    </w:p>
    <w:p>
      <w:r>
        <w:t xml:space="preserve"> </w:t>
      </w:r>
    </w:p>
    <w:p>
      <w:pPr>
        <w:pStyle w:val="Heading2"/>
      </w:pPr>
      <w:r>
        <w:t>Experiments</w:t>
      </w:r>
    </w:p>
    <w:p>
      <w:r>
        <w:t>Datasets: DBLP subset (papers as hyperedges), Enron email threads (threads as hyperedges, redacted), CORUM protein complexes, plus synthetic benchmarks: (a) planted k-uniform motifs, (b) order-sensitive hyperedges (parity, positional patterns), (c) long-range dependency chains. Baselines: adjacency-only GNNs on clique-expanded graphs (GCN, GAT) with matched parameters; HyperGCN / Hypergraph convolution variants; SetTransformer / DeepSets on hyperedge summaries; MLP and label-propagation baselines. Metrics: node classification accuracy, macro F1, micro F1, Expected Calibration Error (ECE), and runtime/peak GPU memory. Experimental setup: canonical incidence files and fixed splits; transductive: stratified 5-fold; inductive: 5 repeated holdouts; temporal: 70/15/15 forward-chaining where available. Seed policy: 10 independent seeds per configuration; report mean±std. Statistical test: paired Wilcoxon signed-rank with Holm correction. Model variants and ablations: (1) full HGMN (role-aware + adjacency + fusion + SSM), (2) HGMN without SSM, (3) hyperedge-level SSM only, (4) layerwise SSM only, (5) fusion disabled (simple concat), (6) ordering strategies: learned canonicalizer (Sinkhorn-based), relative positional encodings, random canonicalization ensemble (K=4). SSM choices: S4 and S4D, shared parameters across layers by default, order N∈{4,8,16} (default 8), state_dim = d or 2d. Training defaults: AdamW, lr=1e-3 with 2–5 epoch linear warmup then cosine decay, weight_decay=1e-4, grad_clip=1.0. Additional ablation: giant-hyperedge handling strategies (importance subsampling, hierarchical pooling, deterministic sharding) evaluated for reconstruction error, downstream accuracy delta, and runtime. Reporting: per-dataset CSVs with per-seed results, ablation tables, calibration plots, and per-hyperedge diagnostic summaries.</w:t>
      </w:r>
    </w:p>
    <w:p>
      <w:r>
        <w:t xml:space="preserve"> </w:t>
      </w:r>
    </w:p>
    <w:p>
      <w:pPr>
        <w:pStyle w:val="Heading2"/>
      </w:pPr>
      <w:r>
        <w:t>Risk Factors And Limitations</w:t>
      </w:r>
    </w:p>
    <w:p>
      <w:r>
        <w:t>Numerical instability: SSMs can exhibit exploding or vanishing internal states (large state norms or tiny activations), causing training failure on some datasets. Role-overfitting and permutation collapse: a learned canonicalizer may overfit to training orders or collapse to degenerate permutations, harming generalization. Giant hyperedges: extremely large hyperedges can exceed memory or produce large sampling bias when subsampled. Compute and scalability: SSM kernels and dense fusion modules increase FLOPs and memory compared with simple GNNs, limiting experiments on large graphs without careful batching or sparse ops. Data bias and evaluation variance: small datasets or class imbalance can produce high variance; 10 seeds are required to assess significance. Privacy and ethics: datasets like Enron may contain personal data; redaction and a reproducible redaction test-suite are needed before release. Generalization limits: improvements depend on meaningful higher-order interactions; on graphs where pairwise structure suffices, gains may be marginal.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