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recurrence_change_quantile_protect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Recurrence-plot and change-quantile InceptionTime deep supervised and semi-supervised protection for transmission lines connected to photovoltaic plants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InceptionTime convolutional network trained on three-phase recurrence plot images combined with mean change-in-quantile features selected by ReliefF and enhanced with semi-supervised label propagation will detect and classify faults on PV-connected transmission lines with detection latency ≤8 ms and annual false-trip rate ≤1e-3, outperforming conventional distance and overcurrent relays on the same scenarios.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Conventional protection uses distance and overcurrent relays that assume large fault currents and linear sources; these methods perform poorly with converter-interfaced generators that limit fault current. Time-series ML approaches (1D-CNNs, RNNs) learn waveforms directly but can be sensitive to noise, inverter dynamics, and require many labeled faults. Recurrence plots (RP) have been used as image-like representations to capture dynamical patterns in signals, and RQA metrics extract structure from RPs, but prior RP work rarely integrates change-point quantile statistics for three-phase fault detection. Change-in-quantile and streaming quantile methods detect distribution shifts with low memory but are typically applied alone and not fused with RP imagery. InceptionTime and other deep time-series CNNs give strong classification accuracy but have been used mostly in fully supervised settings and not optimized under relay-class fixed-point constraints. Semi-supervised methods (label spreading, label propagation, self-training) are effective where labels are scarce, but their use in protection with safety-critical constraints and HIL validation is limited. Gaps: handling inverter-limited fault currents, single-ended decisions, real-time fixed-point implementations, combining RP + change-quantile features, and certifiable semi-supervised training for protection.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single-ended protection of transmission line segments that connect the grid to photovoltaic (PV) plants, where converter-interfaced sources limit fault currents and create nonstandard transients that challenge conventional relays. We propose a hybrid approach that (1) converts synchronized three-phase high-rate current samples into recurrence plot (RP) images to capture dynamical patterns, (2) computes mean change in rolling quantiles of phase currents as compact distribution-shift features, (3) selects informative quantile features with ReliefF, and (4) fuses an InceptionTime-based RP CNN with a lightweight 1D classifier on quantile vectors for fault detection, location, and phase identification. To reduce labeling needs, we add semi-supervised stages using calibrated pseudo-labeling and graph-based label spreading. Main contributions are: a reproducible RP + change-quantile feature pipeline, an interpretable fusion model tailored for relay-class fixed-point inference, and a semi-supervised training recipe validated in EMT/RTDS/HIL and field-log scenarios. Expected outcome: a deployable detector with sub-10 ms decision latency and low nuisance-trip rates on PV-connected lines.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synthetic EMT/PSCAD-EMTDC scenarios (70% of labeled events), RTDS/HIL replayed traces (20%), anonymized field fault logs (10%); target ≈10,000 labeled fault events and 1,000–2,000 hours of labeled normal windows; sampling rate 10 kHz. Scenarios: balanced and unbalanced faults (3-phi, L-G, L-L, LL-G), varied inception angle, fault resistance, locations along line, inverter modes (grid-following/forming), cloud ramps and switching transients. Baselines: conventional distance relay, overcurrent relay, 1D-CNN on raw waveforms, RP-only CNN, quantile-only classifier. Models: InceptionTime CNN on concatenated 3-phase RP images (64×64), 1D-CNN/MLP on ReliefF-selected change-quantile features, late fusion MLP; semi-supervised methods: label spreading, label propagation, self-training with confidence thresholding (start 0.9 → 0.8). Evaluation metrics: detection latency (ms), sensitivity/recall, specificity, false-trip rate (FPR) per-year estimate, false-negative rate (FNR), ROC-AUC, precision, location error in % of line length, phase-identification accuracy, model size (bytes), inference FLOPs, fixed-point quantization loss (8/12/16-bit). Experimental protocol: nested cross-validation with leave-one-farm-out (LOFO) across ≥5 farms; hold out ≥20% farms for final test; report 95% bootstrap CIs. Real-time tests: deploy quantized models to relay-class SoC/FPGA or HIL; measure 50/95/99th percentile latencies, memory bytes, and power estimates; acceptance targets: detection latency ≤8 ms (end-to-end RP+RQA+inference), FPR ≤1e-3 annual, phase-id accuracy ≥98%, location error ≤5% of line length. Ablations: (A) RP-only vs quantile-only vs fused; (B) early fusion vs late fusion; (C) supervised-only vs semi-supervised variants; (D) quantization 16→12→8-bit; (E) reduce RP from 128×128→64×64. Statistical tests: paired McNemar for classifier comparisons, bootstrap CIs for FPR, sequential sampling to validate rare-event bounds.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model overfitting to simulated inverter behavior and poor generalization to unseen inverter controls; confirmation bias in pseudo-labeling causing label drift; RP sensitivity to parameter choices (delay, embedding dimension) that degrade detection. Data and evaluation bias: synthetic-heavy training may not cover rare field transients; limited field fault logs can misrepresent nuisance-event rates. Scalability and compute: O(N^2) RP distance cost for large windows may exceed relay budget if not implemented incrementally; fixed-point quantization may reduce accuracy beyond acceptable margins. Safety and certification limits: deep models are novel for protection; regulators may require extensive HIL testing and formal safety artifacts (SIL evidence). Adversarial and sensor threats: spoofed timestamps or sensor injection can induce misoperation. Statistical limitations: estimating very low misoperation rates (≤1e-4) requires very large representative non-fault samples; augmentation and importance sampling change effective sample counts but do not replace real-world diversity. Time constraints: HIL resources, field log access, or inverter models delays will restrict validation scope.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