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gnn_aclp_link_prediction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GNN-ACLP: subgraph-based graph neural networks and LLM-driven netlist translation for analog circuit link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subgraph-based GNN that trains on SEAL-style subgraphs, uses LLM-powered netlist-format normalization, and includes a hard-negative sampling strategy will increase precision@20 by at least 0.15 and absolute AUPR by at least 0.10 versus a heterogeneous R-GCN baseline on analog device-terminal→net link prediction.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methods for circuit connectivity or link prediction fall into three families: (1) rule-based and feature classifiers that use manually engineered electrical heuristics and node/edge features; (2) graph neural networks (GNNs) for link prediction that operate on whole graphs or on extracted subgraphs (SEAL-style), and heterogeneous GNN variants (e.g., relation-aware R-GCN) that encode node/edge types; and (3) netlist and EDA-format translation tools that rely on hand-written parsers or format-specific converters. Limitations: rule-based and feature-only methods lack topological generalization and fail on ambiguous, electrically plausible negatives; full-graph GNNs often miss local motif structure needed for port-level (terminal-level) prediction; heterogeneous GNN baselines do not uniformly address format variability across netlist dialects; and existing datasets are small or inconsistent, producing data scarcity and poor cross-format generalization. Large language models (LLMs) have been used for code translation but have not been adopted systematically to normalize netlist formats for downstream GNN training.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Analog circuit link prediction identifies which device terminals connect to which nets (wires) in a netlist or extracted schematic. We present a combined approach that (1) trains subgraph-based graph neural networks using SEAL-style subgraph extraction to capture local motif and terminal structure for port-level link prediction, (2) uses an LLM-powered netlist-format normalizer (Netlist Babel Fish) that converts diverse netlist dialects into a canonical graph representation, and (3) provides a curated annotated corpus (SpiceNetlist) and scalable augmentation to support proxy-based SPICE verification. Main contributions: a reproducible pipeline that integrates subgraph GNNs with format normalization, a hard-negative generation strategy for electrically plausible negatives, and a two-stage verification flow (learned fast proxy + physics-informed checks) enabling selective full-SPICE runs. Expected outcome: improved top-k precision and precision-recall performance for device-terminal→net prediction on realistic analog modules, better robustness to netlist format variability, and a practical dataset + tooling bundle for reproducible evaluation.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SpiceNetlist seed: 775 annotated circuits across 7 types and 10 component classes for initial model development; (B) augmented corpus target: 5,000 raw modules (minimum) to 10,000 modules (goal) formed from public examples + controlled synthetic variants (2–5× per module) yielding ~10–30M positive device-terminal→net pairs at corpus scale. Candidate-pair counting &amp; sampling: compute all device-terminal×net candidate pairs per module; sample 50k–100k labeled examples for proxy training by stratified sampling across motifs: ensure each motif class (6–8 motifs) contributes proportionally but enforce minimum 500 examples per rare motif; sampling policy uses pos:neg effective ratio 1:13 (easy negatives 10× positives, hard negatives 3× positives). Baselines: rule-based heuristic (electrical heuristics), feature-only gradient-boosted machine (GBM) on engineered features, heterogeneous R-GCN (relation-aware GNN). Models under test: SEAL-style subgraph GNN (proposed), HAN-like relation-attention, edge-augmented transformer. Evaluation metrics: AUC, AUPR, precision@k (k=20), recall@k, SPICE-consistency pass rate on top-20 suggestions, false-positive fraction on power/substrate rails (&lt;0.05 target), inference latency (proxy &lt;10 ms per candidate). Experimental setup: module-level splits (train/val/test) stratified by motif and by design-style; held-out motif cohort for inductive generalization; 6 random seeds; report mean±std and bootstrap 95% CIs. Training hyperparameters (initial): embedding dim=128, GNN layers=3, LR=1e-3, class-weighted BCE or focal loss, batch composition enforces pos:neg ~1:13 by sampling. Two-stage verification: Stage-A proxy (learned) ranks candidates; Stage-B physics-informed small-signal tests applied to top 1–5% per module; final verification uses selective full SPICE runs limited by compute budget. Ablations: (1) remove Netlist Babel Fish step (train on raw dialects) to measure format sensitivity, (2) remove hard negatives to measure robustness drop, (3) replace SEAL subgraph extraction with full-graph neighborhood to measure subgraph benefit, (4) uncertainty quantification ablation: single model vs ensemble vs conformal intervals for Stage-A pruning. Reporting: per-motif breakdowns, latency and memory footprints (reported per provided hardware), and significance tests against baselines.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proxy false negatives that prune valid links before Stage-B, and proxy false positives that waste SPICE budget; GNN overfitting to common motifs leading to poor performance on rare motifs. Data biases: public and synthetic sources may not represent proprietary industrial layouts, causing distribution shift. Label noise: LVS heuristics and topology perturbations can produce incorrect hard-negative labels; expected false-label rate depends on LVS quality and will affect learning. Scalability constraints: full per-candidate SPICE verification is infeasible at scale; two-stage verification reduces coverage and may miss rare failures. Hardware limits: achieving proxy latency &lt;10 ms per candidate requires optimized inference and suitable GPU/CPU; memory limits require subgraph batching strategies on large modules. Generalization limits: models trained on the provided corpus may not generalize to unseen PDKs or exotic motifs. Interpretability limits: attention weights do not imply causation; causal attribution and counterfactuals are needed but may be noisy and require expert adjudication. Governance constraints: proprietary IP and legal restrictions may limit redistribution of full datasets or netlists.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