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ai_hpc_evaluation_protocol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statistically rigorous evaluation protocol combining nonparametric inference, synthetic-trace fidelity metrics, and differential-privacy accounting to assess AI-driven scheduling and fault-prediction interventions in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AI-driven scheduling policy trained on telemetry with validated synthetic augmentation reduces median job wait time by at least 10% versus the baseline scheduler, measured with nonparametric paired tests and 80% statistical power.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machine learning and optimization to HPC tasks including runtime/performance prediction, surrogate modeling for autotuning, AI-assisted scheduling, and fault detection. Approaches vary from simple regression models for runtime estimation to reinforcement-learning or heuristic-guided schedulers and specialized classifiers for faults. Limitations include weak statistical evaluation (reliance on means and untested parametric tests despite heavy-tailed job distributions), limited or undocumented synthetic-data fidelity (no standard multivariate or tail checks), sparse privacy treatment (telemetry often exposed without formal differential-privacy accounting), inadequate overhead reporting (few studies quantify tail-latency or CPU/network cost of telemetry and inference), and limited adversarial robustness or reproducibility (missing attack models, synthetic-data provenance, and public artifact bundles). Existing simulators and digital twins often lack calibrated validation against canary runs, so policy-ranking agreement is rarely quantified. These gaps hinder defensible production adoption of AI in HPC.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concrete evaluation protocol to measure the operational impact of AI-driven scheduling and failure-prediction in high-performance computing (HPC). The protocol combines: (1) nonparametric statistical inference for skewed, heavy-tailed telemetry (e.g., Wilcoxon paired tests and bootstrap confidence intervals), (2) synthetic-trace fidelity metrics for multivariate and tail agreement (e.g., JS divergence, Earth Mover’s Distance, tail quantile tests), and (3) differential-privacy accounting for aggregated telemetry releases (ε/δ composition via moments accountant). The main contribution is a reproducible, testable pipeline that links calibrated digital-twin simulation, shadow-mode cluster trials, and pre-registered hypothesis tests to produce numeric acceptance criteria (e.g., ≥10% median wait reduction, scheduler decision latency bounds). Expected outcomes are: transparent statistical evidence of AI benefits or harms, validated synthetic data for safe augmentation, quantified privacy-utility tradeoffs, and adversarial test cases for robustness. The protocol is designed to support safe, incremental rollouts of AI in production HPC environments.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Real telemetry traces collected from a pilot HPC partition (job meta, runtime counters, node health, I/O, network) covering at least 100k job records as a seed and expanded to ≈1M job records with synthetic augmentation; (2) curated fault logs with 5k–50k positive fault events (real + synthetic). Synthetic traces must be labeled (synthetic:true) and include provenance. Baselines: (A) current production scheduler (baseline placement/backfill), (B) heuristic optimizer (e.g., size-based backfill tuning), (C) AI policy trained without synthetic augmentation. Models: failure-prediction classifier and scheduling policy (policy may be ML ranking or surrogate-driven optimizer). Evaluation metrics: median job wait time (primary), job turnaround time, scheduler decision latency (p50/p95/p99), telemetry agent CPU%, ingest latency, failure-prediction precision/recall/FPR, energy-delay product, policy-ranking agreement (Spearman ρ), synthetic fidelity metrics (JS divergence per feature, EMD normalized, tail-quantile K-S for extremes). Statistical setup: pre-register primary hypothesis (median wait reduction ≥10%); use Wilcoxon signed-rank test (nonparametric paired test) for median comparisons and bootstrap 95% CIs for median differences (bootstrap = resampling jobs with replacement 10k iterations). Sample size: target 10k paired jobs per primary hypothesis (power 0.8); compute sensitivity curves across CV ∈ {1,2,3} and ICC (intra-class correlation) values; adjust for clustering via design effect = 1 + (m-1)*ICC where m is avg cluster size. Multiple testing: apply Holm correction for pre-registered primary endpoints, Benjamini–Hochberg for exploratory panels. Digital twin: calibrate simulator so latency p50/p90 RMSE &lt;15% and queue-length RMSE &lt;15%; validate by Spearman ρ≥0.9 or top-10 policy overlap ≥90% against shadow canary runs. Deployment steps: (1) offline trace-driven simulation comparisons against baselines; (2) shadow-mode advisory runs on isolated partition for ≥10k jobs; (3) controlled canary A/B run if shadow metrics meet numeric acceptance. Ablation studies: (i) with vs without synthetic augmentation, (ii) with vs without differential-privacy noise (ε ∈ {0.5,1,3}, δ = 1/N) applied to aggregates, (iii) quantized (int8) vs full-precision models to measure latency vs accuracy, (iv) model complexity ablation (lightweight surrogate vs deep model) monitoring scheduler latency and overhead. Robustness tests: data-poisoning up to 1% corrupted training records, label-flip up to 10%, evasion perturbations bounded to ±20% on selected features; measure metric degradation and compare to acceptance thresholds (median wait effect and failure metrics). Synthetic-data validation procedures: compute JS and EMD per feature, Pearson/Spearman per critical pair (accept ±0.05), tail-exceedance tests (compare 95th/99th quantiles with bootstrap). Acceptance criteria: median wait reduction ≥10% with bootstrap 95% CI width ≤ ±5%; scheduler hot-path latency increase ≤50 ms; embedded inference p95 ≤10 ms; failure-prediction precision ≥0.8 and FPR ≤1.5%.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heavy-tailed and clustered job distributions may invalidate simple paired assumptions (tests may lose power); synthetic generators can fail to reproduce rare extreme events or joint tail dependence, causing overconfident models. Data/evaluation biases: labeling errors (budgeted ≤10% for faults) and sampling bias in pilot partitions can distort measured effects. Privacy and DP limits: adding DP noise reduces utility; composition over repeated releases may exhaust privacy budget (δ choice matters). Scalability and compute limits: training and repeated ablation studies require substantial GPU-hours and node-hours; quantization may degrade model accuracy in unknown ways. Overhead constraints: telemetry and inference may increase scheduler latency or node load beyond acceptable bounds under load spikes. Adversarial risks: poisoning or evasion attacks may produce larger-than-expected performance drops if real attackers differ from assumed budgets. Generalization limits: models and synthetic data calibrated on one cluster or workload mix may not generalize to other HPC centers with different hardware, user mixes, or job profiles. Reproducibility limits: sensitive raw traces cannot be fully shared, so external replication depends on synthetic proxies whose fidelity is imperfect.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