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fb_co_created_cancer_prevention_rural_ea</w:t>
      </w:r>
    </w:p>
    <w:p>
      <w:r>
        <w:t xml:space="preserve"> </w:t>
      </w:r>
    </w:p>
    <w:p>
      <w:pPr>
        <w:pStyle w:val="Heading2"/>
      </w:pPr>
      <w:r>
        <w:t>Title</w:t>
      </w:r>
    </w:p>
    <w:p>
      <w:r>
        <w:t>Mixed-methods pilot evaluation of a theory-based, co-created Facebook-delivered web intervention to reduce multiple cancer risk behaviors among rural emerging adults</w:t>
      </w:r>
    </w:p>
    <w:p>
      <w:r>
        <w:t xml:space="preserve"> </w:t>
      </w:r>
    </w:p>
    <w:p>
      <w:pPr>
        <w:pStyle w:val="Heading2"/>
      </w:pPr>
      <w:r>
        <w:t>Short Hypothesis</w:t>
      </w:r>
    </w:p>
    <w:p>
      <w:r>
        <w:t>Assignment to the co-created Facebook-delivered intervention increases the proportion of rural emerging adults who initiate at least one HPV vaccine dose within 3 months by ≥15 percentage points compared with an attention-control condition.</w:t>
      </w:r>
    </w:p>
    <w:p>
      <w:r>
        <w:t xml:space="preserve"> </w:t>
      </w:r>
    </w:p>
    <w:p>
      <w:pPr>
        <w:pStyle w:val="Heading2"/>
      </w:pPr>
      <w:r>
        <w:t>Related Work</w:t>
      </w:r>
    </w:p>
    <w:p>
      <w:r>
        <w:t>Existing approaches include web- and app-based behavior-change programs, social-media delivered health campaigns, and community-engaged/co-created interventions. Web/app programs often target a single behavior (e.g., smoking cessation or sun protection) and rely on static content or automated reminders; they commonly report modest short-term engagement and mixed efficacy in young adults. Social-media campaigns can reach emerging adults but frequently lack randomized evaluation, objective outcome verification, or sustained engagement strategies. Community-engaged interventions improve cultural fit but are rarely combined with scalable web delivery or measured with objective health-system verification (for example, immunization registry queries). Multi-behavior interventions exist but usually address paired behaviors and lack standardized behavior-change technique (BCT) dose measurement. Across these areas, common limitations are (1) limited focus on rural populations with connectivity constraints, (2) scarce objective biomarker or registry validation, (3) weak quantification of exposure to active BCTs, and (4) insufficient attention to tribal governance and data sovereignty in rural contexts.</w:t>
      </w:r>
    </w:p>
    <w:p>
      <w:r>
        <w:t xml:space="preserve"> </w:t>
      </w:r>
    </w:p>
    <w:p>
      <w:pPr>
        <w:pStyle w:val="Heading2"/>
      </w:pPr>
      <w:r>
        <w:t>Abstract</w:t>
      </w:r>
    </w:p>
    <w:p>
      <w:r>
        <w:t>Rural emerging adults face elevated, modifiable cancer risks across multiple behaviors but have limited access to multi-behavior prevention interventions. We propose a mixed-methods pilot evaluating a theory-based, community-engaged web program delivered via private Facebook groups and co-created with target users and stakeholders. The intervention bundles behavior-change techniques (BCTs) addressing HPV vaccination, tobacco use, sun safety, diet, and physical activity, and logs timestamped events to compute a numeric BCT exposure dose. The primary outcome is verified initiation of at least one HPV vaccine dose within 3 months. Secondary outcomes include a standardized proximal-behavior composite and objective tobacco biomarkers. Contributions are: (1) a scalable, low-bandwidth social-media delivery model co-developed with rural stakeholders; (2) a pre-registered BCT-dose algorithm linking exposure to mediators; and (3) operational SOPs for registry verification and biospecimen workflows appropriate to rural and tribal settings. Expected impact: demonstration of feasibility, measurable signals of effect on HPV uptake, and reproducible artifacts (estimand table, SAP, code-ready analytics events) to power a definitive trial.</w:t>
      </w:r>
    </w:p>
    <w:p>
      <w:r>
        <w:t xml:space="preserve"> </w:t>
      </w:r>
    </w:p>
    <w:p>
      <w:pPr>
        <w:pStyle w:val="Heading2"/>
      </w:pPr>
      <w:r>
        <w:t>Experiments</w:t>
      </w:r>
    </w:p>
    <w:p>
      <w:r>
        <w:t>Dataset: Pilot randomized controlled trial, N=60 rural emerging adults (age 18–26), stratified into four subgroup quotas (tribal, agricultural workers, rural college students, other). Timepoints: baseline, mid-intervention (week 4), post (8 weeks), follow-up (3 months primary endpoint). Intervention arms: (A) co-created Facebook group intervention (full), (B) attention-control (health education posts matched for frequency), (C) ablation arm removing interactive BCTs (optional if N allows) or low-data text/SMS-only delivery as alternate comparator. Baselines and measures: HPV vaccine initiation (self-report plus IIS/clinic verification), tobacco use = 7-day Timeline Follow-Back (days used) + saliva cotinine (ng/mL), sun safety = mean Sun Protection Behavior Index (Likert 1–5), diet = DSQ-derived servings/day, PA = IPAQ-SF minutes/week. Engagement: timestamped analytics events and computed BCT dose (0–100%). Baselines: collect demographics, baseline behaviors, recruitment source, and mediators (self-efficacy, intention, planning). Baselines for analysis: record site and subgroup strata. Baselines for power: pilot N=60 yields ~±12–13% CI half-width for a single-group proportion. Primary evaluation: mixed-effects logistic regression for HPV initiation with random intercept for site, fixed arm indicator, baseline HPV status, subgroup strata as covariates; report ITT. If sparse outcomes or separation occurs, use Firth penalized logistic regression or Bayesian logistic with weakly informative priors (normal(0,2.5) on log-odds). Secondary analyses: linear mixed models for continuous composite z-score (random intercepts), negative-binomial or zero-inflated models for days of tobacco use if skewed. MNAR sensitivity: pattern-mixture delta adjustments scanning delta in [-1.0, +1.0] log-odds units (example grid: -1.0, -0.5, -0.25, 0, +0.25, +0.5, +1.0) and report tipping points. Ablation studies: compare full vs interactive-BCT-removed arm to estimate contribution of interactive components; compare full Facebook delivery vs low-data SMS/text to evaluate delivery mode. Evaluation metrics: primary = absolute difference in HPV initiation proportion at 3 months and 95% CI; secondary = mean change in composite z-score, tobacco biomarker-positive proportion, BCT dose-response correlation (Spearman rho) and mediation analyses (self-efficacy changes at mid-point mediating behavior change). Acceptability/feasibility metrics: recruitment rate per week, retention at 3 months, biospecimen return rate, and proportion of valid IIS verifications. Pre-specified thresholds and code: provide R scripts for mixed models (lme4), Firth regression (brglm2 or logistf), Bayesian models (rstanarm), and pattern-mixture scans to ensure reproducibility.</w:t>
      </w:r>
    </w:p>
    <w:p>
      <w:r>
        <w:t xml:space="preserve"> </w:t>
      </w:r>
    </w:p>
    <w:p>
      <w:pPr>
        <w:pStyle w:val="Heading2"/>
      </w:pPr>
      <w:r>
        <w:t>Risk Factors And Limitations</w:t>
      </w:r>
    </w:p>
    <w:p>
      <w:r>
        <w:t>Small sample size limits statistical power and precise effect estimates; pilot is mainly for feasibility and variance estimation. IIS access variability across states/tribes may produce missing objective verification or delayed outcomes. Biospecimen non-return or shipping failures can bias tobacco biomarker results. Self-report measures are subject to recall and social-desirability bias. Engagement metrics derived from Facebook events may be incomplete if participants disable tracking or use multiple devices. BCT dose weighting is partially arbitrary; validation is limited in a small pilot. Generalization is limited to rural emerging adults in recruited regions and to delivery via Facebook; findings may not generalize to other platforms or older age groups. Offline caching and device-based encryption reduce but do not eliminate privacy risks; remote wipe requires later reconnection. Seasonal work patterns (e.g., farming cycles) may affect recruitment, retention, and behavior timing, complicating interpretation of temporal mediation.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