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a2a_cp_csf_hydrocephalus</w:t>
      </w:r>
    </w:p>
    <w:p>
      <w:r>
        <w:t xml:space="preserve"> </w:t>
      </w:r>
    </w:p>
    <w:p>
      <w:pPr>
        <w:pStyle w:val="Heading2"/>
      </w:pPr>
      <w:r>
        <w:t>Title</w:t>
      </w:r>
    </w:p>
    <w:p>
      <w:r>
        <w:t>Multimodal evaluation of choroid plexus adenosine A2A receptor signaling using PET, pharmacology, genetics, and physiology to determine its role in CSF hypersecretion and ventriculomegaly in hydrocephalus</w:t>
      </w:r>
    </w:p>
    <w:p>
      <w:r>
        <w:t xml:space="preserve"> </w:t>
      </w:r>
    </w:p>
    <w:p>
      <w:pPr>
        <w:pStyle w:val="Heading2"/>
      </w:pPr>
      <w:r>
        <w:t>Short Hypothesis</w:t>
      </w:r>
    </w:p>
    <w:p>
      <w:r>
        <w:t>Activation of adenosine A2A receptors (A2AR) in choroid plexus epithelial cells increases CSF secretion and causes ventricular enlargement via parallel PI3K/AKT‑dependent SPAK phosphorylation and NF‑κB‑mediated upregulation of ATP1A2; CP‑restricted A2AR antagonism or genetic deletion prevents these changes.</w:t>
      </w:r>
    </w:p>
    <w:p>
      <w:r>
        <w:t xml:space="preserve"> </w:t>
      </w:r>
    </w:p>
    <w:p>
      <w:pPr>
        <w:pStyle w:val="Heading2"/>
      </w:pPr>
      <w:r>
        <w:t>Related Work</w:t>
      </w:r>
    </w:p>
    <w:p>
      <w:r>
        <w:t>Existing work shows A2AR modulates neural and vascular signaling and that choroid plexus (CP) transporters (NKCC1, Na+/K+ ATPase subunits including ATP1A2, CFTR, AQP1) control CSF secretion. PET radioligands for A2AR (carbon‑11 and fluorine‑18 tracers) have characterized brain A2AR distribution but PET sensitivity for small CP structures is limited by low receptor density and partial‑volume effects. Prior CSF physiology studies implicate NKCC1 and Na+/K+ ATPase in hypersecretion but do not link A2AR signaling mechanistically to transporter regulation in vivo. Genetic models have explored global or neuronal A2AR roles, but CP‑specific manipulation is scarce. Pharmacologic trials of A2AR antagonists (e.g., istradefylline) focus on movement disorders; translation to CSF dynamics is unexplored. Limitations of current approaches include: lack of CP‑focused receptor occupancy data, inadequate separation of central CP effects from systemic cardiovascular confounds, insufficient pairing of PET PK/PD with direct CSF secretion measurements, and sparse multi‑modal evidence tying A2AR → PI3K/AKT/SPAK and A2AR → NF‑κB → ATP1A2 pathways to ventriculomegaly.</w:t>
      </w:r>
    </w:p>
    <w:p>
      <w:r>
        <w:t xml:space="preserve"> </w:t>
      </w:r>
    </w:p>
    <w:p>
      <w:pPr>
        <w:pStyle w:val="Heading2"/>
      </w:pPr>
      <w:r>
        <w:t>Abstract</w:t>
      </w:r>
    </w:p>
    <w:p>
      <w:r>
        <w:t>Hydrocephalus often features excessive cerebrospinal fluid (CSF) production and ventricular enlargement, but the molecular triggers that link brain injury to sustained CSF hypersecretion are unclear. This study tests whether aberrant signaling through adenosine A2A receptors (A2AR) in the choroid plexus (CP) drives CSF hypersecretion and ventriculomegaly via PI3K/AKT‑dependent SPAK phosphorylation and NF‑κB‑dependent transcriptional upregulation of ATP1A2. We will combine PET receptor occupancy, systemic and intracerebroventricular pharmacology (including istradefylline), CP‑restricted genetic deletion/rescue (inducible Cre/AAV), direct CSF secretion assays (ventriculo‑cisternal perfusion, microdialysis), longitudinal MRI, Ussing chamber transporter assays, and matched omics (phosphoproteomics and snRNAseq). Main contributions are: (1) demonstration of CP A2AR occupancy → acute CSF secretion dose–response, (2) mechanistic dissection of parallel PI3K/AKT→SPAK and NF‑κB→ATP1A2 pathways, and (3) preclinical evaluation of A2AR antagonism as a repurposing strategy. Expected outcomes are quantifiable occupancy thresholds linked to CSF secretion changes, pathway‑level biomarkers (pSPAK, ATP1A2), and go/no‑go criteria for advancing A2AR antagonism to translational studies.</w:t>
      </w:r>
    </w:p>
    <w:p>
      <w:r>
        <w:t xml:space="preserve"> </w:t>
      </w:r>
    </w:p>
    <w:p>
      <w:pPr>
        <w:pStyle w:val="Heading2"/>
      </w:pPr>
      <w:r>
        <w:t>Experiments</w:t>
      </w:r>
    </w:p>
    <w:p>
      <w:r>
        <w:t>Datasets: adult mice and rats (both sexes) including: (A) healthy controls; (B) kaolin‑induced hydrocephalus model; (C) CP‑specific Adora2a conditional knockout (Ttr‑CreERT2 or FoxJ1‑CreERT2 induced) and matched Cre‑negative littermates; (D) AAV‑Cre CP‑targeted acute deletions and AAV rescue with Cre‑resistant human ADORA2A; (E) human iPSC‑derived CP organoids; (F) human CP surgical samples for ex vivo autoradiography. Baselines: vehicle (saline), systemic istradefylline, peripherally restricted A2A antagonist, non‑selective controls (A1/A2B antagonists), genetic controls (global KO where appropriate). Imaging and tracer baselines: PET with [11C]SCH442416 or [18F]MNI‑444 (choose per site) and MRI baseline scans. Primary metrics: acute percent change in CSF secretion rate (ventriculo‑cisternal perfusion; measure ml/min or µl/min and percent change), ventricular volume (mm3 and percent change by T2/T1 MRI), PET occupancy (V_T and BP_ND), CP free drug concentration (CSF microdialysate), intracranial pressure (ICP, mmHg), transporter function: Ussing chamber short‑circuit current (µA/cm2) and bumetanide‑sensitive NKCC1 flux, ouabain‑sensitive Na+/K+ ATPase activity, ATP1A2 protein levels (ng/mg protein) and mRNA (normalized counts), phospho‑SPAK and pAKT (phosphorylation stoichiometry), NF‑κB activity (nuclear fraction and target gene expression). Secondary metrics: DCE‑MRI Ktrans (CP permeability), aqueductal CSF flow (ml/min), cardiovascular telemetry (BP/HR). Experimental setup: PK/PD: systemic dosing with plasma at predose, 5,15,30 min,1,2,4,8,24 h; CSF microdialysate at 15,30,60,120,240 min for acute; chronic pumps with trough/Cmax days 3,7,14. PET: arterial sampling with metabolite analysis; kinetic models: 2‑tissue compartment (2TC) and Logan for V_T; compute BPND and occupancy using Occ = [free]/(Kd + [free]) with measured fu by equilibrium dialysis. Acute physiology: ventriculo‑cisternal perfusion (n=8–10/group) with simultaneous ICP. Chronic studies: osmotic minipump ICV or systemic dosing and longitudinal MRI at baseline, 1,2,4 weeks (n=12–15/group). Ex vivo: Ussing chambers on fresh CP for transporter assays at 30 min, 6 h, 24 h, 1 week timepoints. Omics: phosphoproteomics (5 replicates/condition) at 5–60 min; snRNAseq (≥5 biological replicates) and spatial transcriptomics at 6–24 h and 1–4 weeks. Comparisons/ablations: (1) systemic istradefylline vs ICV istradefylline vs CP‑specific Adora2a KO; (2) pathway block: PI3K inhibitor (e.g., LY294002) vs NF‑κB inhibitor vs vehicle to separate PI3K/AKT→SPAK from NF‑κB→ATP1A2 contributions; (3) rescue: AAV Cre‑resistant ADORA2A in CP KO; (4) tracer sensitivity ablation: PET vs ex vivo autoradiography occupancy curves. Evaluation metrics: statistical tests via linear mixed‑effects models with animal random effect, primary endpoints: acute CSF secretion percent change and ventricular volume percent change; significance α=0.05, adjust omics via FDR. Power: pilot‑driven with provisional n above (acute n=8–10, chronic n=12–15).</w:t>
      </w:r>
    </w:p>
    <w:p>
      <w:r>
        <w:t xml:space="preserve"> </w:t>
      </w:r>
    </w:p>
    <w:p>
      <w:pPr>
        <w:pStyle w:val="Heading2"/>
      </w:pPr>
      <w:r>
        <w:t>Risk Factors And Limitations</w:t>
      </w:r>
    </w:p>
    <w:p>
      <w:r>
        <w:t>Low PET sensitivity for small CP structures (partial‑volume effects and low Bmax) may prevent reliable occupancy estimates; PET LLOQ may exceed target 10–15% occupancy. Systemic A2A drugs produce cardiovascular effects (BP/HR changes) that can confound CSF measurements. CP volume and anatomy variability, and anesthesia effects, increase CSF secretion measurement variance. AAV/Cre tools risk off‑target recombination (liver, ependyma, airways) and incomplete CP transduction; inducible Cre leakage can cause developmental compensation. Equilibrium dialysis and fu measurements with tiny CP samples are prone to nonspecific adsorption and dilution artifacts. Omics assays face batch effects, limited tissue mass for phosphoproteomics, and single‑cell capture variability. Translation to human hydrocephalus is limited by species differences in CP transporter expression and A2AR distribution. Ethical and welfare constraints (hydrocephalus morbidity) may limit chronic cohorts and sample sizes.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