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iot_adoption_meta</w:t>
      </w:r>
    </w:p>
    <w:p>
      <w:r>
        <w:t xml:space="preserve"> </w:t>
      </w:r>
    </w:p>
    <w:p>
      <w:pPr>
        <w:pStyle w:val="Heading2"/>
      </w:pPr>
      <w:r>
        <w:t>Title</w:t>
      </w:r>
    </w:p>
    <w:p>
      <w:r>
        <w:t>Weighted and random-effects meta-analytic review of theoretical frameworks and predictors of Internet of Things adoption in health care</w:t>
      </w:r>
    </w:p>
    <w:p>
      <w:r>
        <w:t xml:space="preserve"> </w:t>
      </w:r>
    </w:p>
    <w:p>
      <w:pPr>
        <w:pStyle w:val="Heading2"/>
      </w:pPr>
      <w:r>
        <w:t>Short Hypothesis</w:t>
      </w:r>
    </w:p>
    <w:p>
      <w:r>
        <w:t>Healthcare deployments with higher interoperability maturity, documented data governance, stronger security controls, and bidirectional EHR integration produce greater objective IoT adoption (higher device or system use rates) than deployments lacking these features.</w:t>
      </w:r>
    </w:p>
    <w:p>
      <w:r>
        <w:t xml:space="preserve"> </w:t>
      </w:r>
    </w:p>
    <w:p>
      <w:pPr>
        <w:pStyle w:val="Heading2"/>
      </w:pPr>
      <w:r>
        <w:t>Related Work</w:t>
      </w:r>
    </w:p>
    <w:p>
      <w:r>
        <w:t>Prior work includes narrative and qualitative reviews of IoT adoption in health care, selective meta-analyses of specific device classes, and vote-counting syntheses of predictors. Existing quantitative syntheses commonly (1) mix heterogeneous outcomes (intentions, self-report use, objective use) without harmonized conversion rules; (2) convert effect statistics ad hoc or omit reliability corrections; (3) ignore within-study dependence from multiple effects per sample or apply single-level random-effects only; (4) treat technical and implementation variables inconsistently or as descriptive only; and (5) rarely apply selection-model approaches adapted for dependent effects. These limitations leave unresolved which predictors are robust after correct dependence modeling, reliability propagation, and formal selection-bias assessment. Methods gaps also include lack of pre-specified decision rules for RVE vs three-level models, sparse use of simulation to defend thresholds, and limited integration of qualitative themes as quantitative moderators.</w:t>
      </w:r>
    </w:p>
    <w:p>
      <w:r>
        <w:t xml:space="preserve"> </w:t>
      </w:r>
    </w:p>
    <w:p>
      <w:pPr>
        <w:pStyle w:val="Heading2"/>
      </w:pPr>
      <w:r>
        <w:t>Abstract</w:t>
      </w:r>
    </w:p>
    <w:p>
      <w:r>
        <w:t>We address which theoretical frameworks and predictors reliably explain adoption of Internet of Things (IoT) technologies in health care by combining weight analysis and random-effects meta-analysis in a single, pre-specified protocol. We will systematically search major bibliographic databases for peer-reviewed quantitative and mixed-methods studies, extract harmonized predictors and outcomes, convert reported statistics to a common effect metric, and apply both robust variance estimation (RVE) and three-level meta-analysis according to a decision tree informed by simulations. We predefine a parsimonious set of technical moderators (EHR integration, interoperability standard, data governance presence, security posture), correct for measurement reliability, and evaluate publication bias using PET-PEESE, Vevea–Hedges weight functions, and Bayesian selection models. We will also integrate qualitative themes as moderators in convergent syntheses. The main contribution is a reproducible, defensible quantitative map identifying influential predictors and the certainty of evidence, producing actionable guidance for researchers, implementers, and policymakers on IoT adoption in health care.</w:t>
      </w:r>
    </w:p>
    <w:p>
      <w:r>
        <w:t xml:space="preserve"> </w:t>
      </w:r>
    </w:p>
    <w:p>
      <w:pPr>
        <w:pStyle w:val="Heading2"/>
      </w:pPr>
      <w:r>
        <w:t>Experiments</w:t>
      </w:r>
    </w:p>
    <w:p>
      <w:r>
        <w:t>1) Data corpus: perform systematic searches in PubMed, Scopus, Web of Science, and IEEE Xplore up to search date; include peer-reviewed empirical quantitative or mixed-methods studies in English with minimum sample n&gt;=20 (flag smaller samples). Extract effect statistics, sample sizes, reliabilities, study design, unit of analysis (patient, clinician, facility), IoT technical fields, and qualitative themes. 2) Baselines: (A) narrative synthesis / vote-counting; (B) standard single-level random-effects meta-analysis without weight analysis; (C) random-effects meta-analysis without reliability correction. 3) Primary models: weighted analysis to rank predictors by frequency-strength; random-effects pooling with Fisher z transforms; primary inference using three-level rma.mv (when &lt;20–39 clusters or high within-study ICC) and RVE (robumeta/clubSandwich) when independent clusters &gt;=40. 4) Conversions: implement t-&gt;r, chi2-&gt;r, OR-&gt;d-&gt;r transforms and var(z)=1/(N-3). 5) Reliability: apply classical attenuation correction r_corr = r_obs / sqrt(rel_x * rel_y) when reliabilities available; when missing, impute median reliabilities and run sensitivity at 0.6/0.7/0.8. 6) Publication bias: run PET-PEESE, contour funnel plots, Vevea–Hedges weight-function models (cluster-bootstrap adaptation), and Bayesian selection models in Stan with weak priors. 7) Simulations: run grid k={10,20,40}, mean n={20,50,100}, ICC={0.0,0.2,0.5}, tau2={0.01,0.05,0.10}, dependent effects per study={1,3,5}; evaluate type I error, bias, CI coverage for RVE vs three-level to defend decision thresholds. 8) Ablations and comparisons: (i) compare weighted vs unweighted predictor rankings; (ii) compare models with and without reliability correction; (iii) vary rho for dependent effects over {0.0,0.3,0.6,0.8}; (iv) test primary IoT technical moderators vs model without technical moderators. 9) Evaluation metrics: pooled effect sizes (Fisher z and back-transformed r), 95% CIs, 95% prediction intervals, tau2, I2, moderator coefficients and SEs, model fit (AIC/BIC where applicable), coding IRR (Cohen's kappa target &gt;=0.80), simulation metrics (type I error, power, coverage). 10) Reporting: primary analysis excludes RoB2='high' or ROBINS-I='critical' and n&lt;20; all ablations and sensitivity variants reported in supplements.</w:t>
      </w:r>
    </w:p>
    <w:p>
      <w:r>
        <w:t xml:space="preserve"> </w:t>
      </w:r>
    </w:p>
    <w:p>
      <w:pPr>
        <w:pStyle w:val="Heading2"/>
      </w:pPr>
      <w:r>
        <w:t>Risk Factors And Limitations</w:t>
      </w:r>
    </w:p>
    <w:p>
      <w:r>
        <w:t>1) Outcome heterogeneity: combining intentions, self-report use, and objective use may limit interpretability; conversion rules may not fully harmonize constructs. 2) Missing or inconsistent reporting: many studies may omit Ns, reliabilities, or technical details, producing imputation dependence and reduced certainty. 3) Dependence and small clusters: few independent studies (k&lt;20) or many dependent effects per study can reduce estimator reliability and inflate type I error for RVE. 4) Selection-model complexity: Bayesian selection models may fail to converge for dependent data or sparse corpora. 5) Measurement-error assumptions: reliability corrections assume classical measurement error; if violated, corrected estimates may be biased. 6) Generalizability: results reflect published, English-language literature and may not generalize to low-resource settings or unpublished deployments. 7) Coding subjectivity: qualitative theme coding and technical-field extraction risk low inter-rater agreement despite training. 8) Computational cost: simulations, multiple imputations, and Bayesian models require nontrivial compute and may slow timelines. 9) Unit-of-analysis mapping: studies reporting different units (patient vs facility) complicate effect comparability and may introduce aggregation bias.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