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ai_ethics_syllabus_india</w:t>
      </w:r>
    </w:p>
    <w:p>
      <w:r>
        <w:t xml:space="preserve"> </w:t>
      </w:r>
    </w:p>
    <w:p>
      <w:pPr>
        <w:pStyle w:val="Heading2"/>
      </w:pPr>
      <w:r>
        <w:t>Title</w:t>
      </w:r>
    </w:p>
    <w:p>
      <w:r>
        <w:t>Syllabus-level analysis of AI ethics coverage in Indian computing courses using multilingual OCR, human annotation, and transformer-based classification</w:t>
      </w:r>
    </w:p>
    <w:p>
      <w:r>
        <w:t xml:space="preserve"> </w:t>
      </w:r>
    </w:p>
    <w:p>
      <w:pPr>
        <w:pStyle w:val="Heading2"/>
      </w:pPr>
      <w:r>
        <w:t>Short Hypothesis</w:t>
      </w:r>
    </w:p>
    <w:p>
      <w:r>
        <w:t>Applying a fine-tuned multilingual transformer with an active learning loop will reduce manual annotation effort by at least 30% while maintaining multi-label ethics topic detection F1 ≥ 0.80 on Indian computing course syllabi, compared to manual annotation without model assistance.</w:t>
      </w:r>
    </w:p>
    <w:p>
      <w:r>
        <w:t xml:space="preserve"> </w:t>
      </w:r>
    </w:p>
    <w:p>
      <w:pPr>
        <w:pStyle w:val="Heading2"/>
      </w:pPr>
      <w:r>
        <w:t>Related Work</w:t>
      </w:r>
    </w:p>
    <w:p>
      <w:r>
        <w:t>Prior work includes manual and small-scale studies of ethics education that analyze course descriptions and curricula to report presence/absence of ethics topics; these studies often rely on manual coding, single-language corpora, or small institutional samples. Other work uses rule- or keyword-based methods to detect topics across documents, which are simple but miss contextual mentions and yield many false positives. In natural language processing, transformer-based multilingual models have improved topic tagging across languages, but their application to heterogeneous syllabus documents (scanned PDFs, mixed scripts, sectioned layouts) is limited. Existing efforts rarely combine multilingual OCR evaluation, section-aware parsing, ordinal depth coding (mapping to Bloom levels), and accreditation crosswalks. Limitations in current methods include small sample sizes, lack of reproducible OCR ground truth for Indic scripts, weak validation of depth scales, insufficient handling of multi-column or templated syllabi, and poor linkage to policy measures like NAAC/NBA indicators.</w:t>
      </w:r>
    </w:p>
    <w:p>
      <w:r>
        <w:t xml:space="preserve"> </w:t>
      </w:r>
    </w:p>
    <w:p>
      <w:pPr>
        <w:pStyle w:val="Heading2"/>
      </w:pPr>
      <w:r>
        <w:t>Abstract</w:t>
      </w:r>
    </w:p>
    <w:p>
      <w:r>
        <w:t>We study how AI ethics is presented in computing course syllabi across Indian higher-education institutions. We build a reproducible pipeline that ingests multilingual and scanned syllabi via evaluated OCR, extracts structured sections, and applies human annotation for a multi-label ethics taxonomy with an ordinal depth scale mapped to Bloom levels. We train and evaluate transformer-based multilingual classifiers and a hierarchical section-aware model to detect topics (privacy, fairness, accountability, etc.) and predict instructional depth. We measure annotation efficiency gains from active learning and report OCR error rates per script. The main contributions are: (1) a stratified syllabus corpus and 100-page OCR ground truth across Indic scripts; (2) a validated codebook for topic and depth coding; (3) reproducible ML baselines and active-learning protocols; and (4) an accreditation crosswalk that maps measured coverage and depth to NAAC/NBA indicators. Expected outcomes are reliable estimates of ethics coverage and depth in Indian computing curricula and practical tools to scale future monitoring and curricular interventions.</w:t>
      </w:r>
    </w:p>
    <w:p>
      <w:r>
        <w:t xml:space="preserve"> </w:t>
      </w:r>
    </w:p>
    <w:p>
      <w:pPr>
        <w:pStyle w:val="Heading2"/>
      </w:pPr>
      <w:r>
        <w:t>Experiments</w:t>
      </w:r>
    </w:p>
    <w:p>
      <w:r>
        <w:t>Datasets: (1) OCR ground-truth: ~100 scanned pages stratified by script (Devanagari, Bengali, Tamil, Kannada, Gujarati, Latin), font, layout, and quality; (2) Pilot syllabi corpus n=40 balanced across strata; (3) Full corpus target n=400–600 syllabi stratified by region, institution type, accreditation, programme, urban/rural. Split: stratified 5-fold cross-validation and a held-out test set of 15–20% reserved for final evaluation. Baselines: (A) keyword-search with curated lexicon per topic; (B) TF-IDF + logistic regression multi-label; (C) monolingual BERT-style model per language where feasible; (D) XLM-R / mBERT / IndicBERT fine-tuned for multi-label tagging; (E) hierarchical section-level model that aggregates section embeddings to course level; (F) ordinal regression head (e.g., CORAL) for depth prediction. OCR engines compared: Tesseract (with Indic traineddata), Kraken, Calamari; measure engine versions and configs. Evaluation metrics: per-label precision, recall, F1; micro/macro F1; area under precision-recall curve (AUPRC) for rare labels; weighted F1 for ordinal depth; Cohen’s kappa for inter-rater reliability (IRR) on manual labels; character error rate (CER) and word error rate (WER) for OCR; expected calibration error (ECE) to assess probability calibration; annotation-effort reduction (%) measured as labeled items saved by active learning vs random sampling. Experimental setup: seed control and reproducible random states; training hyperparameters logged (batch size, lr, epochs, max tokens); compute estimate (GPU type, hours). Active learning ablation: initial seed 200 labeled, batch size 50, acquisition = hybrid entropy + core-set diversity; stopping criterion = validation micro-F1 improvement &lt;0.5% over 3 rounds. Compare: (1) transformer with active learning vs transformer with random sampling; (2) hierarchical section model vs document-level model (ablation removes section features); (3) multilingual model vs separate monolingual models; (4) predictions trained on raw OCR vs post-corrected OCR to quantify OCR impact. OCR evaluation: align engine output to ground truth using Levenshtein alignment with normalization rules (case-fold, punctuation removal, Unicode normalization); report CER/WER with 95% CI per script. Annotation protocol: pilot double-code 100% then 30% ongoing; report per-label kappa and compute power tables. Reproducibility: publish Docker container, notebooks, and scripts to run OCR alignment and modeling with fixed random seeds.</w:t>
      </w:r>
    </w:p>
    <w:p>
      <w:r>
        <w:t xml:space="preserve"> </w:t>
      </w:r>
    </w:p>
    <w:p>
      <w:pPr>
        <w:pStyle w:val="Heading2"/>
      </w:pPr>
      <w:r>
        <w:t>Risk Factors And Limitations</w:t>
      </w:r>
    </w:p>
    <w:p>
      <w:r>
        <w:t>1) OCR failures: high CER on some Indic scripts, handwritten notes, or templated layouts may cause information loss; results will depend on OCR quality. (CER = characters incorrect/total characters.) 2) Sampling bias: public syllabi availability may bias toward well-resourced institutions; stratification mitigates but cannot fully remove this bias. 3) Annotation subjectivity: depth/Bloom coding is interpretive and may vary between annotators; Cohen’s kappa may remain below target for some labels. 4) Rare labels: low prevalence topics (e.g., algorithmic transparency) yield unstable model estimates and low AUPRC. 5) Legal/copyright constraints: some syllabi are non-public and may be unavailable or restricted, limiting corpus size. 6) Scalability and compute: fine-tuning multilingual transformers and running active learning require GPU resources; resource limits may constrain experiments. 7) Generalization: models trained on India-specific syllabi may not generalize to other countries or to course materials beyond syllabi (lectures, assignments). 8) Evaluation linkage to accreditation: mapping coverage/depth metrics to NAAC/NBA indicators is partially interpretive and may not be accepted as formal evidence by all accreditation bodies.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