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trcs_analytical_errors_3yr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Retrospective calibration and prospective evaluation of per-assay automated QC alerting to reduce analytical errors in a Thai Red Cross Society general hospital laboratory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Calibrating per-assay automated QC alerts using 12–24 months of historical QC and EQA data and deploying a combined Westgard+CUSUM+EWMA alerting strategy will reduce the analytical error rate per 10,000 routine tests by at least 30% within six months of implementation.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laboratory error reduction has three main strands: (1) descriptive audits quantifying pre-analytical, analytical, and post-analytical errors using routine logs; (2) application of statistical QC rules (notably Westgard multi-rules) and sigma metrics to prioritize assays; and (3) time-series or before–after studies of targeted interventions. Limitations across prior approaches include reliance on single-rule or non-calibrated QC triggers, sparse use of sequential detection methods (CUSUM/EWMA) in combination with Westgard rules, limited per-assay calibration using long historical QC/EQA records, inconsistent denominator definitions (tests counted), poor handling of timestamp/lot-change linkages, little prospective validation of alert performance, and weak linkage to downstream clinical outcomes. Many studies are single-center, lack machine-actionable CAPA rules, and do not present simulation-based tradeoff analyses (sensitivity versus nuisance alarms) across realistic prevalence scenarios.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Laboratory analytical errors harm patients and waste resources, yet operational thresholds and prospective validation of automated detection remain limited. We propose a two-stage approach: (1) retrospective calibration of per-assay alert thresholds using 12–24 months of QC and EQA records and sigma metrics (sigma: a measure of combined accuracy and precision), and (2) a prospective pilot deploying combined Westgard, CUSUM (cumulative sum; detects small mean shifts), and EWMA (exponentially weighted moving average; detects drift) rules to generate machine-actionable alerts linked to CAPA workflows. The main contribution is an end-to-end, per-assay calibrated pipeline that quantifies alert performance (sensitivity, positive predictive value, nuisance-alarm rate) and tests whether calibrated alerts reduce analytical error rates and repeat testing. Expected outcomes are reproducible per-assay thresholds, demonstration of a ≥30% reduction in analytical error rate for prioritized assays within six months, and an open, containerized analytic toolkit and data dictionary to support reproducibility and wider adoption.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Retrospective data (2021–2023): routine test records (per-test timestamps, assay ID, instrument ID, operator ID), QC runs, EQA/PT results, reagent lot-change logs, instrument maintenance logs, LIS event logs, and linked clinician-flagged critical incidents; (2) Prospective pilot data (6 months) collected after deployment; (3) External control data from an affiliated site or parallel EQA cycles if available. Baselines: (A) current practice (manual/standard static QC rules such as 13s Westgard only); (B) default uncalibrated Westgard multi-rule set; (C) algorithm-free voluntary reporting rates. Primary outcome: analytical error rate per 10,000 routine clinical tests (errors defined by operational rules). Secondary outcomes: assay-specific false-result proxies (PPV/FP/FN using EQA as reference), median turnaround time (TAT) for affected tests, repeat-test frequency, clinically critical events per 10,000 tests, alert metrics (sensitivity, specificity, PPV, nuisance-alarm rate per assay, median lead time). Experimental setup: Stage 1 (calibration) — use 12–24 months retrospective QC and EQA to estimate per-assay sigma, fit and tune Westgard thresholds stratified by sigma tiers (sigma≥6; 4–6; &lt;4), and tune CUSUM (k=0.5σ starting point, H=5σ) and EWMA (λ=0.2–0.3, L=3σ) by bootstrap resampling of historical QC to target ≤1 nuisance alarm/month. Simulations: run prevalence scenarios (low/medium/high error prevalence) to produce sensitivity vs PPV curves for each threshold set. Stage 2 (prospective pilot) — deploy three parallel alert arms per assay: (1) Westgard-only calibrated, (2) Westgard + CUSUM, (3) Westgard + CUSUM + EWMA; randomly assign instruments or time blocks where feasible or use staggered rollout; collect 6 months of alerts and outcomes. Statistical analysis: interrupted time-series (segmented regression with ARIMA errors) for population-level rate changes; negative-binomial GLMM for assay-level counts with log(test volume) offset and random intercepts for instrument and operator; compare arms with pairwise contrasts and hierarchical modeling to control multiplicity (predefine primary assays). Ablation study: remove CUSUM or EWMA components to measure marginal benefit of each detector on sensitivity, PPV, lead time, and nuisance rate. Power/sample-size: compute per-assay Poisson/negative-binomial power tables using historical volumes to ensure 80% power to detect a 30% IRR reduction; report required months of data per assay. Reporting: provide confusion matrices by assay, ROC/precision-recall summaries, alarm burden statistics, and time-to-action distributions.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incorrect timestamp synchronization (instrument-LIS drift) breaking event linkage; poor data quality (missing instrument ID or timestamps) reducing analyzable events; overfitting thresholds to historical idiosyncrasies yielding low generalizability. Evaluation biases: selection bias if only QC-confirmed events are used (underestimates true incidence); surveillance bias from increased detection after deployment; confounding secular trends causing spurious ITS effects. Scalability and compute: per-assay bootstrap tuning and simulations require moderate compute but are feasible; real-time alerting integration with LIS may need engineering effort. Generalization limits: thresholds calibrated on 2021–2023 local data may not transfer to other sites or assays with different workflows. Clinical linkage constraints: privacy and regulatory barriers may limit secure linkage of laboratory errors to downstream clinical outcomes, reducing ability to measure patient-level harm. Operational harms: high nuisance-alarm rates can create alert fatigue and lead to ignored alerts. Statistical limits: low-event assays (rare errors) will have limited power to detect moderate effects within short pilots.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