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anion_gap_lactate_sepsis_ed</w:t>
      </w:r>
    </w:p>
    <w:p>
      <w:r>
        <w:t xml:space="preserve"> </w:t>
      </w:r>
    </w:p>
    <w:p>
      <w:pPr>
        <w:pStyle w:val="Heading2"/>
      </w:pPr>
      <w:r>
        <w:t>Title</w:t>
      </w:r>
    </w:p>
    <w:p>
      <w:r>
        <w:t>ROC analysis of anion gap to predict elevated serum lactate in emergency department patients with sepsis without shock</w:t>
      </w:r>
    </w:p>
    <w:p>
      <w:r>
        <w:t xml:space="preserve"> </w:t>
      </w:r>
    </w:p>
    <w:p>
      <w:pPr>
        <w:pStyle w:val="Heading2"/>
      </w:pPr>
      <w:r>
        <w:t>Short Hypothesis</w:t>
      </w:r>
    </w:p>
    <w:p>
      <w:r>
        <w:t>In emergency department patients diagnosed with sepsis without shock, higher admission anion gap values predict an increased probability of contemporaneous serum lactate ≥2.0 mmol/L measured within 15 minutes.</w:t>
      </w:r>
    </w:p>
    <w:p>
      <w:r>
        <w:t xml:space="preserve"> </w:t>
      </w:r>
    </w:p>
    <w:p>
      <w:pPr>
        <w:pStyle w:val="Heading2"/>
      </w:pPr>
      <w:r>
        <w:t>Related Work</w:t>
      </w:r>
    </w:p>
    <w:p>
      <w:r>
        <w:t>Prior work has examined associations between anion gap (AG) and serum lactate, using correlation or receiver operating characteristic (ROC) methods to test AG as a proxy for lactic acidosis. Existing approaches vary: some use raw AG, others use albumin-corrected AG; some studies focus on ICU or mixed shock populations, while others use single-center ED samples. Limitations across prior work include small or single-center cohorts, inconsistent timing between AG and lactate measurements, heterogeneous lactate assays, incomplete control for confounders that alter AG or lactate (for example diabetic ketoacidosis, toxic ingestions, metformin), limited prespecification of analytic rules, and sparse external validation. Few studies report decision-curve or clinical utility analyses to choose cutoffs for rule-out versus rule-in. As a result, prior findings are hard to generalize to multicenter ED sepsis populations without shock and to operationalize as triage thresholds.</w:t>
      </w:r>
    </w:p>
    <w:p>
      <w:r>
        <w:t xml:space="preserve"> </w:t>
      </w:r>
    </w:p>
    <w:p>
      <w:pPr>
        <w:pStyle w:val="Heading2"/>
      </w:pPr>
      <w:r>
        <w:t>Abstract</w:t>
      </w:r>
    </w:p>
    <w:p>
      <w:r>
        <w:t>We address whether admission anion gap (AG) can predict elevated serum lactate in emergency department (ED) patients diagnosed with sepsis who do not have shock. Using a multicenter retrospective ED cohort operationalized by Sepsis-3 criteria, we will extract paired electrolyte panels and lactate drawn within 15 minutes and prior to major interventions. We will evaluate raw and albumin-corrected AG using ROC analysis to identify optimal cutoffs for lactate ≥2.0 mmol/L (rule-out) and ≥4.0 mmol/L (rule-in). Modeling will use penalized logistic regression with adjustment for prespecified confounders and site random effects; validation will use internal-external leave-one-site-out cross-validation and bootstrap resampling. Main contributions are: prespecified, reproducible analytic rules; assay-stratified performance estimates; and decision-curve analysis to select clinically actionable AG thresholds. We expect to quantify operating characteristics (sensitivity, negative predictive value, specificity) and provide validated AG cutoffs that can inform whether immediate lactate testing is necessary in non-shock ED sepsis triage.</w:t>
      </w:r>
    </w:p>
    <w:p>
      <w:r>
        <w:t xml:space="preserve"> </w:t>
      </w:r>
    </w:p>
    <w:p>
      <w:pPr>
        <w:pStyle w:val="Heading2"/>
      </w:pPr>
      <w:r>
        <w:t>Experiments</w:t>
      </w:r>
    </w:p>
    <w:p>
      <w:r>
        <w:t>Datasets: multicenter retrospective ED electronic health record (EHR) cohort of adult encounters with clinician-documented sepsis and Sepsis-3 acute SOFA increase ≥2; include only encounters without shock (no vasopressors before labs, no sustained MAP &lt;65 mmHg after ≥500 mL IV fluid). Index labs: Na, Cl, HCO3, creatinine, albumin and lactate drawn within ≤15 minutes; sensitivity analyses use ≤30 and ≤60 minutes. Include laboratory metadata: assay type (POC whole-blood vs central plasma), specimen tube, time-to-analysis, site analytic CVs. Baselines: 1) qSOFA alone logistic model; 2) SOFA component model; 3) raw AG alone; 4) albumin-corrected AG alone; 5) multivariable penalized logistic regression (LASSO) including AG, vitals, eGFR, albumin, DKA/toxin/metformin flags, infection source. Evaluation metrics: AUC (area under ROC curve) with 95% CI, sensitivity, specificity, NPV, PPV at prespecified cutoffs, calibration-in-the-large, calibration slope, Brier score, decision-curve net benefit. Validation and resampling: internal-external leave-one-site-out cross-validation; bootstrap 1,000 resamples for optimism correction; mixed-effects logistic model with site random intercepts for pooled estimates. Missing data: multiple imputation by chained equations (MICE) with m=40 imputations including outcome and auxiliary variables; MNAR sensitivity via pattern-mixture delta shifts for albumin (±0.25, ±0.5 g/dL) and creatinine. Comparisons/ablations: (A) raw AG vs albumin-corrected AG performance; (B) adjusted multivariable model vs AG-alone rule; (C) models trained on ≤15-minute window vs ≤30-minute window; (D) assay-stratified analyses (POC vs central) and post-calibration vs uncalibrated. Predefined decision thresholds: choose AG rule-out cutoff maximizing sensitivity ≥95% and NPV ≥98% for lactate ≥2.0; rule-in cutoff optimizing specificity ≥90% for lactate ≥4.0. Report full ROC curves, threshold tables, and site-specific performance.</w:t>
      </w:r>
    </w:p>
    <w:p>
      <w:r>
        <w:t xml:space="preserve"> </w:t>
      </w:r>
    </w:p>
    <w:p>
      <w:pPr>
        <w:pStyle w:val="Heading2"/>
      </w:pPr>
      <w:r>
        <w:t>Risk Factors And Limitations</w:t>
      </w:r>
    </w:p>
    <w:p>
      <w:r>
        <w:t>Retrospective design: timing and documentation errors in EHR timestamps may misclassify index pairs. Measurement heterogeneity: different lactate assays and specimen types can introduce bias. Confounding: conditions like DKA, toxic alcohols, metformin, transfusion, and chronic liver disease alter AG or lactate and may be incompletely captured. Missing data: albumin or electrolytes may be missing or measured at different times; imputation assumptions may be violated (MNAR). Low event rates: if prevalence of lactate ≥2.0 is low, precision for sensitivity/NPV estimates may be insufficient. Site clustering: heterogeneity across hospitals may limit transportability of single pooled cutoffs. Generalization: results may not apply to pediatric patients, prehospital settings, or patients in shock. Operational thresholds: prespecified sensitivity/NPV targets may not translate to clinical adoption due to workflow or clinician acceptance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