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triherbal_thromboinflammation_dm</w:t>
      </w:r>
    </w:p>
    <w:p>
      <w:r>
        <w:t xml:space="preserve"> </w:t>
      </w:r>
    </w:p>
    <w:p>
      <w:pPr>
        <w:pStyle w:val="Heading2"/>
      </w:pPr>
      <w:r>
        <w:t>Title</w:t>
      </w:r>
    </w:p>
    <w:p>
      <w:r>
        <w:t>Evaluation of anti-thromboinflammatory effects of a 1:1:1 aqueous extract of Moringa oleifera, Ocimum gratissimum and Vernonia amygdalina in streptozotocin-induced diabetic rats</w:t>
      </w:r>
    </w:p>
    <w:p>
      <w:r>
        <w:t xml:space="preserve"> </w:t>
      </w:r>
    </w:p>
    <w:p>
      <w:pPr>
        <w:pStyle w:val="Heading2"/>
      </w:pPr>
      <w:r>
        <w:t>Short Hypothesis</w:t>
      </w:r>
    </w:p>
    <w:p>
      <w:r>
        <w:t>Daily oral dosing of a 1:1:1 aqueous extract of Moringa oleifera, Ocimum gratissimum and Vernonia amygdalina at 150 mg/kg for 28 days reduces thromboinflammatory readouts (ex vivo platelet aggregation, circulating NET markers, pro-inflammatory cytokines) and increases arterial time-to-occlusion versus vehicle in streptozotocin-induced diabetic rats.</w:t>
      </w:r>
    </w:p>
    <w:p>
      <w:r>
        <w:t xml:space="preserve"> </w:t>
      </w:r>
    </w:p>
    <w:p>
      <w:pPr>
        <w:pStyle w:val="Heading2"/>
      </w:pPr>
      <w:r>
        <w:t>Related Work</w:t>
      </w:r>
    </w:p>
    <w:p>
      <w:r>
        <w:t>Prior studies report that individual extracts of Moringa, Ocimum and Vernonia have anti-inflammatory and antiplatelet effects in vitro and in simple animal models, and some work shows glucose-lowering effects in diabetic models. Existing approaches typically test single herbs or isolated compounds, often without standardized chemical markers, limited PK data, and without integrated thromboinflammation endpoints (NETs, cytokines, platelet function, thrombosis models). Limitations include small sample sizes, absence of parent versus conjugate plasma profiling, poor assay validation (no inter-assay CV targets), and lack of sex-stratified analyses. No prior study has combined the three herbs in a 1:1:1 aqueous blend with rigorous botanical vouchers, LC-MS marker quantitation, validated bioanalysis, and linked PK/PD to thrombosis outcomes in a diabetic rat model.</w:t>
      </w:r>
    </w:p>
    <w:p>
      <w:r>
        <w:t xml:space="preserve"> </w:t>
      </w:r>
    </w:p>
    <w:p>
      <w:pPr>
        <w:pStyle w:val="Heading2"/>
      </w:pPr>
      <w:r>
        <w:t>Abstract</w:t>
      </w:r>
    </w:p>
    <w:p>
      <w:r>
        <w:t>Thromboinflammation—combined clotting and inflammation—is a serious vascular complication of diabetes. This study tests whether a 1:1:1 aqueous blend of Moringa oleifera, Ocimum gratissimum and Vernonia amygdalina reduces thromboinflammatory measures in a rat model of diabetes. We will conduct standardized botanical authentication and LC-MS marker quantitation, then compare the blended extract to vehicle, individual extracts, and a positive control in streptozotocin-induced diabetic rats. Primary outcomes are ex vivo platelet aggregation and arterial time-to-occlusion; secondary outcomes include thrombin generation, plasma NET markers (NETs are DNA-protein webs released by neutrophils), cytokine panels, histologic thromboinflammation scores, and parent versus total (conjugated + parent) plasma exposure. The main contribution is an integrated, validated preclinical package linking exposure (PK) to anti-thromboinflammatory pharmacology (PD) for a standardized triherbal extract. Expected impact is a reproducible translational dataset specifying exposure-response thresholds to support further mechanistic or translational development.</w:t>
      </w:r>
    </w:p>
    <w:p>
      <w:r>
        <w:t xml:space="preserve"> </w:t>
      </w:r>
    </w:p>
    <w:p>
      <w:pPr>
        <w:pStyle w:val="Heading2"/>
      </w:pPr>
      <w:r>
        <w:t>Experiments</w:t>
      </w:r>
    </w:p>
    <w:p>
      <w:r>
        <w:t>Animal model and groups: streptozotocin (STZ, single low dose 35 mg/kg i.p. after 4 weeks HFD) diabetic rats stratified by sex; randomize after two fasting glucose readings &gt;250 mg/dL. Treatment arms (balanced by sex): vehicle; blended extract low/med/high (50, 150, 500 mg/kg oral); individual extracts each at 150 mg/kg; positive control aspirin 10 mg/kg. Group size: n=8 per sex per group (16 animals/group) for definitive arms; pilot tolerability n=3/sex per ascending dose. Dosing schedule: once daily oral gavage for 28 days for chronic arm; separate acute PK/PD cohort for single-dose timecourse. Bioanalysis: LC-MS/MS quantitation of 2–3 selected chemical markers plus total phenolic/flavonoid content; validation per FDA/EMA with accuracy, precision, linearity, LLOQ (target 1–5 ng/mL), ULOQ, matrix effects, stability and incurred sample reanalysis. Parent vs total: aliquots with and without enzymatic deconjugation (β-glucuronidase/arylsulfatase) to report parent and total exposure. PK sampling: pre-dose, 0.25, 0.5, 1, 2, 4, 8, 24 h (acute); trough and Cmax timepoint during chronic study. Thrombosis and platelet assays: arterial FeCl3 carotid model using 10% FeCl3 applied for 3 minutes; occlusion defined as absence of flow for 10 min by Doppler; ex vivo platelet aggregation measured by light transmission aggregometry (LTA) on platelet-rich plasma (PRP) prepared from citrated blood with agonists ADP 10 μM and collagen 2 μg/mL; whole-blood impedance aggregometry using hirudin-anticoagulated blood with TRAP 15 μM as complementary readout. Secondary assays: thrombin generation (calibrated automated thrombography; ETP and peak), fibrinogen, D-dimer, multiplex cytokines (IL-6, TNF-α, IL-1β, MCP-1, IL-10, TGF-β), NET markers (MPO-DNA ELISA, citrullinated histone H3 by ELISA/IF), endothelial markers (sVCAM-1, vWF). Histology: blinded IHC/IF for CD41, fibrin, CitH3, MPO, CD31; digital image quantification. Baselines and comparisons: vehicle baseline, aspirin positive control, individual extracts vs blend; primary comparison: blended 150 mg/kg vs vehicle. Statistical analysis: primary endpoints = percent inhibition of platelet aggregation and time-to-occlusion; use mixed-effects models for repeated measures (fixed effects: treatment, time, sex; random effect: animal), Kaplan-Meier and log-rank for time-to-occlusion, multiplicity control by Holm procedure; report sex-disaggregated results. Ablation/comparison studies: (1) blended vs individual extracts to test synergy or additivity; (2) parent vs total PK: bioactive correlation of parent AUC vs PD outcomes; (3) dose-response across 50–500 mg/kg. Evaluation metrics: percent platelet aggregation inhibition, time-to-occlusion (seconds), thrombin generation (ETP nmol·min), plasma cytokine fold-change, NET marker concentration (ng/mL), PK parameters (Cmax, AUC0-24), histology composite thromboinflammation score. Success criteria: ≥30% reduction in platelet aggregation and ≥25% increase in time-to-occlusion at measurable parent plasma concentrations (parent ≥5–10 ng/mL) replicated across sexes.</w:t>
      </w:r>
    </w:p>
    <w:p>
      <w:r>
        <w:t xml:space="preserve"> </w:t>
      </w:r>
    </w:p>
    <w:p>
      <w:pPr>
        <w:pStyle w:val="Heading2"/>
      </w:pPr>
      <w:r>
        <w:t>Risk Factors And Limitations</w:t>
      </w:r>
    </w:p>
    <w:p>
      <w:r>
        <w:t>Botanical variability: natural batch-to-batch chemical differences may reduce reproducibility and confound exposure-response. Insufficient systemic exposure: active markers may be poorly absorbed or rapidly conjugated, preventing attainment of target plasma levels. Metabolite activity unknown: conjugates may be active or inactive, complicating interpretation of parent vs total PK. Assay variability: platelet aggregation, NET and cytokine assays can have high inter-assay CV if not rigorously validated. Model translatability: STZ/HFD diabetic rat findings may not translate to human diabetes or vascular disease. Sex differences: efficacy or toxicity may differ by sex, increasing sample size needs. Toxicity: higher doses may produce organ toxicity, limiting dose escalation. Statistical power and resource limits: required per-sex sample sizes increase costs and complexity. Histology and image analysis: quantitative scoring may be sensitive to staining variability across batches or sites. Regulatory gaps: non-GLP exploratory status limits direct regulatory acceptance without follow-up GLP studies.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