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fcm_trust_cds</w:t>
      </w:r>
    </w:p>
    <w:p>
      <w:r>
        <w:t xml:space="preserve"> </w:t>
      </w:r>
    </w:p>
    <w:p>
      <w:pPr>
        <w:pStyle w:val="Heading2"/>
      </w:pPr>
      <w:r>
        <w:t>Title</w:t>
      </w:r>
    </w:p>
    <w:p>
      <w:r>
        <w:t>Quantifying perceived clinician trust in interpretable COVID-19 clinical decision support using fuzzy cognitive maps</w:t>
      </w:r>
    </w:p>
    <w:p>
      <w:r>
        <w:t xml:space="preserve"> </w:t>
      </w:r>
    </w:p>
    <w:p>
      <w:pPr>
        <w:pStyle w:val="Heading2"/>
      </w:pPr>
      <w:r>
        <w:t>Short Hypothesis</w:t>
      </w:r>
    </w:p>
    <w:p>
      <w:r>
        <w:t>Presenting CDS explanations calibrated by clinician-elicited fuzzy cognitive maps increases clinician-reported trust scores and leads to higher adherence to CDS recommendations compared with black-box explanations or no-CDS.</w:t>
      </w:r>
    </w:p>
    <w:p>
      <w:r>
        <w:t xml:space="preserve"> </w:t>
      </w:r>
    </w:p>
    <w:p>
      <w:pPr>
        <w:pStyle w:val="Heading2"/>
      </w:pPr>
      <w:r>
        <w:t>Related Work</w:t>
      </w:r>
    </w:p>
    <w:p>
      <w:r>
        <w:t>Existing work on trust in clinical decision support (CDS) falls into two streams: technical explanation methods for models (e.g., inherently interpretable models and post-hoc attribution methods) and behavioral measurement of trust using surveys or simple behavioral proxies (e.g., override rates). Interpretable-model approaches (such as generalized additive models) provide transparent feature effects but often lack clinician-aligned mental models; post-hoc methods (such as feature attributions) can be unstable or misleading when features are correlated. Measurement studies commonly rely on ad-hoc trust scales or single-item measures and rarely link perceived trust to behavior through rigorous mediation analysis. Prior evaluation of explanations focuses on isolated fidelity metrics without standardized thresholds or subgroup analyses. Across these approaches common limitations are: weak alignment between model explanations and clinicians' mental models, inconsistent explanation fidelity tests, insufficient validation of perceived trust against behavioral outcomes, limited handling of fairness across clinician subgroups, and inadequate privacy specification for synthetic clinical data.</w:t>
      </w:r>
    </w:p>
    <w:p>
      <w:r>
        <w:t xml:space="preserve"> </w:t>
      </w:r>
    </w:p>
    <w:p>
      <w:pPr>
        <w:pStyle w:val="Heading2"/>
      </w:pPr>
      <w:r>
        <w:t>Abstract</w:t>
      </w:r>
    </w:p>
    <w:p>
      <w:r>
        <w:t>We address the problem of measuring and validating clinicians' perceived trust in interpretable machine-learning clinical decision support for COVID-19 diagnosis. We propose a method that elicits clinician mental models using fuzzy cognitive maps (FCMs) — simple graphs where nodes are clinical concepts and weighted edges represent perceived causal influence — and uses those FCMs to quantify each clinician's trust model for an interpretable CDS. We then compare trust and adherence across three within-subject conditions: interpretable CDS, black-box CDS with post-hoc explanations, and no CDS. A degree-of-agreement metric (comparing clinician FCMs to explanation attributions) validates the quantified perceived trust. The main contribution is a reproducible pipeline linking clinician-elicited mental models, quantitative explanation-fidelity metrics, and behavioral outcomes through multilevel mediation. Expected outcomes include validated trust measurement instruments, empirical estimates of how interpretable explanations affect adherence, and benchmarks for explanation fidelity mapped to clinician trust.</w:t>
      </w:r>
    </w:p>
    <w:p>
      <w:r>
        <w:t xml:space="preserve"> </w:t>
      </w:r>
    </w:p>
    <w:p>
      <w:pPr>
        <w:pStyle w:val="Heading2"/>
      </w:pPr>
      <w:r>
        <w:t>Experiments</w:t>
      </w:r>
    </w:p>
    <w:p>
      <w:r>
        <w:t>Datasets: retrospective, de-identified COVID-19 ED/EHR records for model development (features: demographics, vitals, labs, imaging summaries) and high-fidelity synthetic cohorts matched on key distributions. Recruit N=60–80 licensed clinicians (physicians/advanced practice) across specialties; vignettes per clinician = 8–12 clinical case vignettes derived from EHR snapshots. Design: within-subject 3-arm repeated measures (conditions: interpretable CDS, black-box CDS with post-hoc explanations, no-CDS). Randomization: balanced Latin-square for condition order and stratified permuted blocks by specialty for allocation; vignette order randomized within condition; allocation concealment via central randomization. Blinding: adjudication committee for harm signals blinded to condition. Models and explanations: interpretable model = GA2M (generalized additive model with pairwise interactions; explainable by additive feature effects), black-box model = gradient-boosted ensemble (e.g., XGBoost) with SHAP post-hoc attributions (SHAP: feature contribution values). Baselines: no-CDS, black-box without explanation, black-box+SHAP, GA2M. Ablation studies: (1) remove FCM-based quantification (present explanations without clinician-elicited FCMs), (2) vary explanation fidelity by disabling stability/robustness filtering, (3) compare alternative attribution methods (LIME-like local surrogate). Evaluation metrics: primary = clinician trust score (validated 7-point Likert short-form, standardized to T-score), adherence rate (binary: action matching CDS within pre-specified time window), mediation indirect effect (ab) of condition→trust→adherence; explanation metrics = prediction fidelity (fraction of prediction variance explained by explanation), stability (coefficient of variation under small input noise), top-K feature overlap (bootstrap mean), faithfulness (correlation between attribution magnitude and model output change under controlled perturbation), ICC (intra-class correlation for explanation consistency); privacy metrics = empirical re-identification risk (&lt;0.05 target), TSTR AUROC parity (synthetic-trained vs real-tested ≥0.90). Statistical analysis: linear mixed model (LMM) for trust with fixed effects for condition, order, vignette severity, clinician covariates and random intercepts for clinician and vignette plus clinician×condition random slopes; GLMM for adherence. Mediation: pre-specify multilevel SEM (structural equation model) with bootstrapped indirect effects (1,000 bootstrap samples); report bootstrap CIs and minimum detectable ab from Monte Carlo power simulations (1,000 iterations) across ICC∈{0.01,0.05,0.10,0.15} and d∈{0.20,0.35,0.50}. Interim monitoring: simulate false-positive rates for stopping rules before data collection.</w:t>
      </w:r>
    </w:p>
    <w:p>
      <w:r>
        <w:t xml:space="preserve"> </w:t>
      </w:r>
    </w:p>
    <w:p>
      <w:pPr>
        <w:pStyle w:val="Heading2"/>
      </w:pPr>
      <w:r>
        <w:t>Risk Factors And Limitations</w:t>
      </w:r>
    </w:p>
    <w:p>
      <w:r>
        <w:t>Technical failure modes: explanations may be unstable with correlated clinical features, leading to misleading attributions; FCM elicitation may be noisy or inconsistent across clinicians. Data/evaluation biases: vignette realism may not capture real-world workflow, producing ecological validity gaps; clinician sample may be non-representative by specialty or experience. Scalability and compute: training and bootstrapping explanation fidelity (e.g., many perturbations, bootstraps) is compute-intensive and may limit large-scale replication. Generalization limits: results for COVID-19 vignettes may not transfer to other clinical problems or to live EHR settings. Measurement limits: self-reported trust can be influenced by demand characteristics or social desirability; behavioral proxies (adherence) in vignettes may not map to real patient care. Privacy risks: synthetic data could permit membership or attribute inference under strong attacker models. Trial conduct risks: incomplete washout or sequence learning across vignettes (fatigue or learning effects) can bias within-subject comparisons. Resource and integration constraints: delays in EHR sandbox access or insufficient sample size for psychometric validation (EFA/CFA) will limit inference about scale structure.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