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for uncertainty-aware deep multiple instance learning in medical imaging</w:t>
      </w:r>
    </w:p>
    <w:p>
      <w:r>
        <w:t xml:space="preserve"> </w:t>
      </w:r>
    </w:p>
    <w:p>
      <w:pPr>
        <w:pStyle w:val="Heading2"/>
      </w:pPr>
      <w:r>
        <w:t>Short Hypothesis</w:t>
      </w:r>
    </w:p>
    <w:p>
      <w:r>
        <w:t>Modeling attention as a spatially-smooth probabilistic field with a Gaussian Markov random field prior and a variational posterior (low-rank+diag) will increase lesion-level sensitivity at 1 false positive per WSI and reduce expected calibration error for slide classification compared to deterministic softmax attention.</w:t>
      </w:r>
    </w:p>
    <w:p>
      <w:r>
        <w:t xml:space="preserve"> </w:t>
      </w:r>
    </w:p>
    <w:p>
      <w:pPr>
        <w:pStyle w:val="Heading2"/>
      </w:pPr>
      <w:r>
        <w:t>Related Work</w:t>
      </w:r>
    </w:p>
    <w:p>
      <w:r>
        <w:t>Existing multiple instance learning (MIL) for medical images uses pooling rules such as max/mean or learned deterministic attention to aggregate instance features into slide-level predictions. Deterministic attention methods produce a single attention weight per patch (often via softmax) and lack principled uncertainty estimates. Independent probabilistic instance models (e.g., per-instance Bernoulli/Bayesian outputs) capture uncertainty but ignore spatial correlations between neighboring patches. Graph- or spatial-smoothing approaches (e.g., using explicit smoothing losses or GNNs) enforce contiguity but are typically deterministic and do not provide calibrated uncertainty. Bayesian or variational methods for high-dimensional attention exist but scale poorly because exact KL and log-determinant terms are costly for large sparse precision matrices. Low-rank variational families reduce cost but require explicit ELBO formulas and efficient trace/solve routines. Prior methods therefore trade off uncertainty, spatial coherence, or scalability; none simultaneously provide (1) a probabilistic attention distribution with uncertainty, (2) explicit local and long-range spatial coupling, and (3) scalable KL/log-det computation for WSI-scale graphs.</w:t>
      </w:r>
    </w:p>
    <w:p>
      <w:r>
        <w:t xml:space="preserve"> </w:t>
      </w:r>
    </w:p>
    <w:p>
      <w:pPr>
        <w:pStyle w:val="Heading2"/>
      </w:pPr>
      <w:r>
        <w:t>Abstract</w:t>
      </w:r>
    </w:p>
    <w:p>
      <w:r>
        <w:t>Weakly supervised medical imaging tasks (whole-slide histology and large CT volumes) need instance-level localization and calibrated uncertainty while training from bag-level labels. We propose a probabilistic smooth attention (PSA) mechanism within deep MIL that models attention values as a Gaussian field with a sparse precision matrix encoding local and global interactions. The model places a Gaussian Markov random field (GMRF) prior on attention logits and uses an amortized variational posterior with low-rank plus diagonal covariance to capture key correlations while remaining memory-efficient. Scalable ELBO terms are computed using sparse mat-vecs, conjugate-gradient quadratic-form solves, and stochastic Lanczos quadrature for log-determinant estimates. The main contribution is a unified framework that yields uncertainty-aware attention maps, preserves spatial contiguity, and is engineered for WSI/3D radiology scale. Expected outcomes: improved lesion localization (higher FROC sensitivity), better calibration of slide predictions (lower ECE), and attention maps whose uncertainty highlights ambiguous regions for human review. The approach is designed for reproducible evaluation and ablation of normalization, variational family, and solver approximations.</w:t>
      </w:r>
    </w:p>
    <w:p>
      <w:r>
        <w:t xml:space="preserve"> </w:t>
      </w:r>
    </w:p>
    <w:p>
      <w:pPr>
        <w:pStyle w:val="Heading2"/>
      </w:pPr>
      <w:r>
        <w:t>Experiments</w:t>
      </w:r>
    </w:p>
    <w:p>
      <w:r>
        <w:t>Datasets: CAMELYON16/17 (WSI metastasis detection), TCGA selected cancer subtypes (slide-level labels with subset strong masks), and LIDC-IDRI (CT nodule malignancy with voxel/ROI annotations). Baselines: (A) MIL with deterministic softmax attention, (B) MIL with L1-normalized sigmoid attention, (C) independent-sigmoid (unnormalized) attention, (D) noisy-or pooling, (E) max and mean pooling, (F) deterministic spatial-smoothing attention (graph Laplacian regularizer). Proposed variants: PSA with diagonal q(z); PSA with low-rank+diag q(z) with ranks r={8,16,32}; solver settings SLQ probes p={10,20,50} and Lanczos steps L={20,40,80}; preconditioners {Jacobi, ICC, AMG}. Evaluation metrics: slide AUC with paired DeLong test; lesion-wise FROC sensitivity at 1 and 3 FPs/WSI; patch-level AUROC; IoU and precision/recall on strong subset; calibration: ECE, Brier, NLL; attention diagnostics: entropy, mean connected-component size, attention mass overlap with ground truth. Experimental setup: precompute 768-D patch embeddings, store in LMDB; adjacency graph with 4–8 spatial neighbors; per-GPU minibatch 4k–8k patches; optimizer AdamW, lr schedule: 1e-4 (backbone frozen) → 5e-5 fine-tune, cosine decay, gradient clip 1.0; KL annealing linear 0→1 over 10k–30k steps. Ablations: (1) normalization comparison across baselines; (2) variational family study: diagonal vs r={8,16,32} with reported memory (bytes) and FLOP estimates; (3) SLQ accuracy study: compare SLQ log-det and gradient estimates to exact values on small blocks and report relative error and variance as function of probes p and steps L; (4) preconditioner and warm-start ablation: measure CG iterations and wall time per quadratic evaluation; (5) pseudo-label EM safety ablation: thresholds p∈{0.9,0.95} and epistemic uncertainty percentiles and measure false-accept rate on held strong set. Statistical protocol: bootstrap 95% CIs for all metrics, paired DeLong for AUC, McNemar for binary changes, and report sample sizes; primary comparisons powered to detect ΔAUC=0.03 with n≈300–500 WSIs depending on prevalence. Scalability benchmarks: runtime, peak memory for n up to 50k patches and microbenchmarks for SLQ/CG per ELBO evaluation.</w:t>
      </w:r>
    </w:p>
    <w:p>
      <w:r>
        <w:t xml:space="preserve"> </w:t>
      </w:r>
    </w:p>
    <w:p>
      <w:pPr>
        <w:pStyle w:val="Heading2"/>
      </w:pPr>
      <w:r>
        <w:t>Risk Factors And Limitations</w:t>
      </w:r>
    </w:p>
    <w:p>
      <w:r>
        <w:t>Approximate log-determinant (SLQ) and stochastic quadratic solves may introduce bias or high variance in ELBO gradients, which can destabilize stochastic optimization. Conjugate-gradient convergence depends on graph condition number; ill-conditioned or non-SPD precision matrices may cause failures. Low-rank variational approximations may miss important fine-grained correlations and produce misleading uncertainty. Posterior collapse of attention (degenerate low-entropy maps) is a practical failure mode. WSI and 3D radiology scale impose heavy memory and compute demands; some institutions may lack required hardware. Strong ground-truth annotations are limited and may introduce annotator bias; evaluation on weak labels can overestimate localization. OOD generalization across scanners, stains, or institutions is limited; calibrated probabilities on training domains may not hold under domain shift. Reader-study logistics (IRB, blinded readers, arbitration) and sample collection timelines can delay validation. Finally, numerical solver hyperparameters (probe counts, preconditioner tolerances) may need dataset-specific tuning and may not transfer predictably between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