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hierarchical_occlusion_ensemble_mri_nmd</w:t>
      </w:r>
    </w:p>
    <w:p>
      <w:r>
        <w:t xml:space="preserve"> </w:t>
      </w:r>
    </w:p>
    <w:p>
      <w:pPr>
        <w:pStyle w:val="Heading2"/>
      </w:pPr>
      <w:r>
        <w:t>Title</w:t>
      </w:r>
    </w:p>
    <w:p>
      <w:r>
        <w:t>Hierarchical occlusion and ensemble explainability for MRI diagnostic support in distal myopathies</w:t>
      </w:r>
    </w:p>
    <w:p>
      <w:r>
        <w:t xml:space="preserve"> </w:t>
      </w:r>
    </w:p>
    <w:p>
      <w:pPr>
        <w:pStyle w:val="Heading2"/>
      </w:pPr>
      <w:r>
        <w:t>Short Hypothesis</w:t>
      </w:r>
    </w:p>
    <w:p>
      <w:r>
        <w:t>Applying a hierarchical occlusion method combined with an ensemble of complementary XAI methods to an MRI-based diagnostic model for distal myopathies will produce explanations with higher objective fidelity (greater deletion AUC and IoU against lesion masks) and higher clinician-rated usefulness than single-method saliency maps.</w:t>
      </w:r>
    </w:p>
    <w:p>
      <w:r>
        <w:t xml:space="preserve"> </w:t>
      </w:r>
    </w:p>
    <w:p>
      <w:pPr>
        <w:pStyle w:val="Heading2"/>
      </w:pPr>
      <w:r>
        <w:t>Related Work</w:t>
      </w:r>
    </w:p>
    <w:p>
      <w:r>
        <w:t>Existing explainability for medical imaging has used gradient-based saliency (e.g., Grad-CAM), perturbation/occlusion at single scales, attribution methods (integrated gradients, DeepLIFT), and generative counterfactuals. Strengths include fast visual cues and some localization ability. Limitations are: gradient saliency often highlights diffuse regions and is sensitive to noise; single-scale occlusion is coarse and misses hierarchical anatomical structure; perturbation methods can be computationally expensive in 3D; counterfactual generative edits risk hallucination and lack rigorous realism validation; ensemble approaches that combine multiple XAI outputs are uncommon and rarely evaluated quantitatively; clinical evaluation with multi-reader blinded studies and regulatory-oriented metrics (fidelity, sufficiency, robustness, attribution–biomarker correlation) is sparse. There is also limited work on anatomically conditioned 3D counterfactuals and on explicitly measuring explanation robustness across scanners and protocols.</w:t>
      </w:r>
    </w:p>
    <w:p>
      <w:r>
        <w:t xml:space="preserve"> </w:t>
      </w:r>
    </w:p>
    <w:p>
      <w:pPr>
        <w:pStyle w:val="Heading2"/>
      </w:pPr>
      <w:r>
        <w:t>Abstract</w:t>
      </w:r>
    </w:p>
    <w:p>
      <w:r>
        <w:t>We address the problem of producing clinically meaningful, robust explanations for MRI-based diagnostic models for distal myopathies (a class of neuromuscular disorders). We propose a two-part approach: (1) hierarchical occlusion, which measures model sensitivity by occluding image regions at nested anatomical scales (voxels → muscle segments → whole compartments) to reflect radiologic reasoning; and (2) an ensemble framework that combines multiple XAI outputs (hierarchical occlusion, gradient saliency, perturbation maps, and counterfactual difference maps) into refined visualizations and quantitative scores. Main contributions are: a scalable hierarchical occlusion algorithm for 3D MRI, an ensemble fusion method that weights explanations by fidelity metrics, and a multi-stage evaluation combining objective fidelity metrics and blinded radiologist assessments. Expected outcome: explanations that align better with lesion masks and biomarker measurements, are more robust across scanners, and receive higher clinician usefulness ratings, improving trust and supporting regulatory-compliant transparency.</w:t>
      </w:r>
    </w:p>
    <w:p>
      <w:r>
        <w:t xml:space="preserve"> </w:t>
      </w:r>
    </w:p>
    <w:p>
      <w:pPr>
        <w:pStyle w:val="Heading2"/>
      </w:pPr>
      <w:r>
        <w:t>Experiments</w:t>
      </w:r>
    </w:p>
    <w:p>
      <w:r>
        <w:t>Datasets: 1) Multi-site retrospective MRI cohort of distal myopathy suspects, target N=300 cases stratified across 3 sites and 2 major scanner vendors, with expert voxel-level lesion masks, muscle-level labels, and quantitative MRI biomarkers (fat fraction, STIR/edema signal). 2) Physical/virtual phantom insertions with known lesion ground truth, N=100 insertions. Baselines: Grad-CAM, integrated gradients, single-scale occlusion (fixed patch sizes), perturbation masks, and unconditional counterfactuals. Proposed methods: hierarchical occlusion (nested occlusion at voxel, muscle-segment, compartment scales), ensemble fusion (weighted average of normalized maps where weights derive from cross-validated fidelity scores), anatomically conditioned 3D counterfactual generator (for ablation only). Evaluation metrics (objective): deletion AUC (area under curve measuring performance drop when highest-attribution voxels removed), insertion AUC, sufficiency and comprehensiveness scores, pointing-game AUC (fraction of times max attribution lies inside lesion), IoU and Dice between thresholded heatmaps and lesion masks, Spearman rho between attribution intensity and biomarker values per muscle, and perturbation robustness AUC under additive noise and contrast shifts. Clinician evaluation: blinded reader study with 10 neuroradiologists reading N=300 cases in randomized order; for each case present (a) original MRI + baseline explanation, (b) original MRI + proposed ensemble explanation in counterbalanced design; collect usefulness score (Likert 1-7), decision confidence, and time-to-decision. Counterfactual realism: blinded indistinguishability test with 8 readers and 200 edited vs natural cases; compute reader ROC AUC for detecting edits. Ablations: (A) hierarchical occlusion only, (B) ensemble without hierarchical occlusion, (C) ensemble + hierarchical occlusion (full). Statistical tests: primary endpoint = paired difference in deletion AUC between full method and best baseline on held-out set (bootstrap confidence interval, two-sided paired permutation test, alpha=0.05). Secondary endpoints: IoU, clinician usefulness (paired t-test or Wilcoxon if non-normal) with Benjamini-Hochberg correction for multiple comparisons. Pre-registration: primary/secondary endpoints, analysis scripts, and thresholds (e.g., IoU target 0.5) locked before evaluation.</w:t>
      </w:r>
    </w:p>
    <w:p>
      <w:r>
        <w:t xml:space="preserve"> </w:t>
      </w:r>
    </w:p>
    <w:p>
      <w:pPr>
        <w:pStyle w:val="Heading2"/>
      </w:pPr>
      <w:r>
        <w:t>Risk Factors And Limitations</w:t>
      </w:r>
    </w:p>
    <w:p>
      <w:r>
        <w:t>Technical failure modes: hierarchical occlusion may be computationally heavy for 3D volumes and produce noisy maps if occlusion granularity is mis-specified. Generative counterfactuals can hallucinate anatomically implausible features. Data/evaluation biases: multi-site sampling may still miss vendor/protocol variability; lesion prevalence or size imbalance can bias metrics. Label uncertainty: inter-rater disagreement in lesion masks will reduce measured IoU and complicate metric interpretation. Scalability/compute: 3D conditional diffusion models and ensembles require large GPU-hours and storage; resource limits may force lower-resolution models. Generalization limits: methods tuned on distal myopathies may not transfer to other neuromuscular disorders or body regions. Privacy and DP tradeoffs: differential privacy in federated training may degrade model utility. Regulatory limitations: objective metric thresholds are heuristic until validated by multi-site clinical utility studies. Ethical/legal risks: synthetic edits require explicit consent and can create auditability demands under GDPR/AI Act.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