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w:t>
      </w:r>
    </w:p>
    <w:p>
      <w:r>
        <w:t xml:space="preserve"> </w:t>
      </w:r>
    </w:p>
    <w:p>
      <w:pPr>
        <w:pStyle w:val="Heading2"/>
      </w:pPr>
      <w:r>
        <w:t>Title</w:t>
      </w:r>
    </w:p>
    <w:p>
      <w:r>
        <w:t>Scale-aware adaptive supervised network (SASNet) for semi-supervised medical image segmentation under limited annotations</w:t>
      </w:r>
    </w:p>
    <w:p>
      <w:r>
        <w:t xml:space="preserve"> </w:t>
      </w:r>
    </w:p>
    <w:p>
      <w:pPr>
        <w:pStyle w:val="Heading2"/>
      </w:pPr>
      <w:r>
        <w:t>Short Hypothesis</w:t>
      </w:r>
    </w:p>
    <w:p>
      <w:r>
        <w:t>Integrating scale-aware adaptive pixel-wise reweighting, 3D Fourier-domain view-variance augmentation, and segmentation–regression consistency with signed distance maps in a semi-supervised network will increase lesion-wise sensitivity at 1 false positive per patient compared to a supervised baseline trained on the same labeled subset.</w:t>
      </w:r>
    </w:p>
    <w:p>
      <w:r>
        <w:t xml:space="preserve"> </w:t>
      </w:r>
    </w:p>
    <w:p>
      <w:pPr>
        <w:pStyle w:val="Heading2"/>
      </w:pPr>
      <w:r>
        <w:t>Related Work</w:t>
      </w:r>
    </w:p>
    <w:p>
      <w:r>
        <w:t>Semi-supervised medical segmentation methods commonly use consistency regularization (teacher–student or mean-teacher), pseudo-labeling, and data augmentation to leverage unlabeled images. Multi-scale feature designs (FPN, multi-resolution encoders) address scale variation but typically apply fixed or coarse scale fusion and do not adapt pseudo-label trust per scale. Pseudo-label selection often uses global confidence thresholds or simple uncertainty measures, which can fail on tiny lesions. Boundary-aware techniques sometimes use distance transforms or boundary loss to improve edges, but they are usually applied only as auxiliary losses without enforcing consistency between segmentation and an explicit regression of signed distance maps. Fourier-based augmentation or style mixing has been used to model intensity/domain shifts, but prior work rarely uses 3D Fourier-domain transforms to specifically simulate annotation or view variance in volumetric data. Conformal prediction and ensemble-based uncertainty filtering have been proposed for pseudo-label gating, but they are not widely integrated with scale-aware thresholds or temporal confidence accumulation. Limitations of current approaches include: lack of per-scale pseudo-label guards, insufficient modeling of multi-view annotation variability in 3D, and limited enforcement of segmentation–regression consistency for boundary precision.</w:t>
      </w:r>
    </w:p>
    <w:p>
      <w:r>
        <w:t xml:space="preserve"> </w:t>
      </w:r>
    </w:p>
    <w:p>
      <w:pPr>
        <w:pStyle w:val="Heading2"/>
      </w:pPr>
      <w:r>
        <w:t>Abstract</w:t>
      </w:r>
    </w:p>
    <w:p>
      <w:r>
        <w:t>Limited expert annotations and wide lesion-scale variability challenge medical image segmentation. We propose SASNet, a semi-supervised architecture that fuses low- and high-level features and enforces spatial, temporal, and geometric consistency to improve detection and boundary precision with few labels. SASNet has three core components: (1) scale-aware adaptive reweighting that accumulates temporal confidence to weight pixel-wise predictions by lesion scale, (2) a view-variance enhancement module that applies controlled 3D Fourier-domain transforms to simulate realistic annotation and view variability, and (3) segmentation–regression consistency that trains a segmentation branch together with a signed distance map regression branch to sharpen boundaries. These elements are combined with ensemble-based conformal pseudo-label filtering and locked per-scale thresholds to limit noisy supervision. We expect SASNet to increase lesion-wise sensitivity at clinically relevant false-positive rates while improving boundary metrics compared to supervised and standard semi-supervised baselines. The method is designed to be reproducible, with prespecified matching rules, scale bins, and evaluation operating points.</w:t>
      </w:r>
    </w:p>
    <w:p>
      <w:r>
        <w:t xml:space="preserve"> </w:t>
      </w:r>
    </w:p>
    <w:p>
      <w:pPr>
        <w:pStyle w:val="Heading2"/>
      </w:pPr>
      <w:r>
        <w:t>Experiments</w:t>
      </w:r>
    </w:p>
    <w:p>
      <w:r>
        <w:t>Datasets: LIDC-IDRI / LUNA subset for lung nodules (3D CT), LiTS for liver lesions (3D CT), BUSI (breast ultrasound) for 2D modality, and an internal mammography segmentation subset if available. For each dataset create a labeled pool (5%, 10%, 20% label fractions) and an unlabeled pool using the remaining cases. Reserve a held-out test set stratified by modality and lesion size (tiny, small, medium, large). Calibration split: 15% of labeled set stratified by scale. Scale bins and size measurement: lesion diameter = largest in-plane diameter in millimeters using DICOM pixel spacing; for 3D volumes compute effective volumetric diameter as diameter_eq = 2*( (3/4π * volume)^(1/3) ) for reporting but use largest in-plane for bin assignment. Scale bin numeric boundaries: tiny &lt; 5.0 mm, small 5.0–10.0 mm inclusive of 5.0 mm, medium 10.0–20.0 mm inclusive of 10.0 mm, large &gt; 20.0 mm. Pixel-spacing handling: convert pixels to mm using per-slice row and column spacing and use slice thickness for any z-distance computations; for anisotropic voxels apply interpolation to isotropic 1 mm when computing volumetric IoU or distances. Matching and tie-breaking: binarize probabilistic masks at locked thresholds per-scale (derived on validation), then compute 3D IoU (or 2D IoU for 2D datasets). A prediction matches a GT if IoU ≥ 0.30 for tiny and IoU ≥ 0.50 for small/medium/large. Use a greedy one-to-one matching sorted by descending IoU; ties broken by higher model confidence. For split/merged cases report split/merge counts separately: if one GT matched by multiple preds count the extra preds as false positives; if one pred covers multiple GTs count as single prediction and score matched GTs per IoU rule. Baselines: (A) supervised U-Net/FPN trained only on labeled pool, (B) mean-teacher semi-supervised baseline with standard augmentations, (C) pseudo-labeling baseline using global thresholds without conformal gating, (D) scale-agnostic SASNet ablation (no scale-aware reweight), (E) SASNet minus 3D Fourier view-variance module, (F) SASNet minus signed distance map consistency. Proposed method: full SASNet with ensemble conformal pseudo-label gating. Metrics: primary metric lesion-wise sensitivity at 1 false positive per patient (FROC operating point). Secondary metrics: per-scale Dice, lesion-wise precision and recall, average precision (AP), boundary metrics: 95th percentile Hausdorff distance (HD95) and average surface distance (ASD), calibration metrics: ECE and Brier score, and pseudo-label precision/recall on reserved labeled subset. Statistical tests: compare primary metric using GEE (logit link) adjusting for patient clustering and report cluster-bootstrapped 95% CI; for paired comparisons use McNemar where applicable; correct multiple comparisons with Benjamini–Hochberg. Training &amp; setup: optimizer AdamW, base LR 1e-4, EMA decay 0.999, linear consistency ramp 10 epochs after 3 warm-up epochs, mixed precision training. Conformal gating: 3-model ensemble (or MC-dropout fallback) to produce nonconformity scores; nonconformity for hard masks s = 1 − IoU; for probabilistic masks s = −(1/|R|) sum_{i in R} log p_i where |R| is region pixel count; accept pseudo-label if ensemble mean confidence &gt; per-scale locked threshold AND conformal p-value ≥ 0.1. Ablations: run ablation experiments removing each core component (scale-aware reweight, 3D Fourier augmentation, signed-distance consistency) and compare to full SASNet. Repeats &amp; reproducibility: run each configuration with 3 random seeds and fixed train/val/test splits; report mean and bootstrap 95% CI. Sample-size example: with baseline sensitivity p1=0.70 and expected p2=0.80, alpha=0.05, power=0.80 → approx. 290 lesions (adjust for ICC using design effect; assume ICC ρ=0.2 for planning).</w:t>
      </w:r>
    </w:p>
    <w:p>
      <w:r>
        <w:t xml:space="preserve"> </w:t>
      </w:r>
    </w:p>
    <w:p>
      <w:pPr>
        <w:pStyle w:val="Heading2"/>
      </w:pPr>
      <w:r>
        <w:t>Risk Factors And Limitations</w:t>
      </w:r>
    </w:p>
    <w:p>
      <w:r>
        <w:t>Technical failure modes: pseudo-label noise may propagate errors, especially for tiny lesions; ensemble/conformal assumptions require calibration split exchangeability and may fail under domain shift. Data and evaluation biases: lesion-size measurement may vary with anisotropic voxels and slice selection; inter-annotator variability will affect calibration and thresholds. Matching edge cases: merged/split lesions can bias sensitivity and FP counts; greedy matching may undercount partial detections. Scalability and compute: ensemble-based conformal gating increases inference cost (~3×); nightly teacher passes on large unlabeled pools may be time-consuming and require GPU resources. Generalization limits: method tuned on certain modalities may not transfer to unseen scanners or pathologies without domain-specific recalibration; 3D Fourier augmentation may not fully capture realistic acquisition differences. Statistical limits: patient-level clustering reduces effective lesion sample size; incorrect ICC estimates inflate type I/II error risk. Regulatory/clinical limits: improvements in primary metric may not equate to clinical benefit if false positives impact workflow; human-in-the-loop adjudication may be needed for deployment.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