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memory_bank_wavelet_ultrasound</w:t>
      </w:r>
    </w:p>
    <w:p>
      <w:r>
        <w:t xml:space="preserve"> </w:t>
      </w:r>
    </w:p>
    <w:p>
      <w:pPr>
        <w:pStyle w:val="Heading2"/>
      </w:pPr>
      <w:r>
        <w:t>Title</w:t>
      </w:r>
    </w:p>
    <w:p>
      <w:r>
        <w:t>Memory-bank and wavelet-based network for segmentation of long ultrasound videos</w:t>
      </w:r>
    </w:p>
    <w:p>
      <w:r>
        <w:t xml:space="preserve"> </w:t>
      </w:r>
    </w:p>
    <w:p>
      <w:pPr>
        <w:pStyle w:val="Heading2"/>
      </w:pPr>
      <w:r>
        <w:t>Short Hypothesis</w:t>
      </w:r>
    </w:p>
    <w:p>
      <w:r>
        <w:t>Adding a FAISS-indexed long-short-term memory bank combined with multi-scale wavelet temporal convolutions to a frame-wise segmentation network will increase per-video Dice and reduce ejection-fraction mean absolute error on long cardiac ultrasound videos versus a spatial-only UNet baseline.</w:t>
      </w:r>
    </w:p>
    <w:p>
      <w:r>
        <w:t xml:space="preserve"> </w:t>
      </w:r>
    </w:p>
    <w:p>
      <w:pPr>
        <w:pStyle w:val="Heading2"/>
      </w:pPr>
      <w:r>
        <w:t>Related Work</w:t>
      </w:r>
    </w:p>
    <w:p>
      <w:r>
        <w:t>Existing ultrasound segmentation methods fall into two families: spatial-only encoder-decoder networks (for example UNet-style models) and short-range temporal methods that add local temporal context via 1D temporal convolutions or recurrent units. Separate lines of work use external memory banks or attention-based memories to store long-range context in video tasks, but these are typically evaluated on natural video and small-scale medical sets and often require large GPU memory. Wavelet and multi-scale denoising approaches (including discrete wavelet transform variants) have been applied for speckle reduction and edge preservation in ultrasound, but prior work usually treats denoising as a preprocessing step and does not fuse wavelet temporal features into learned memory. Limitations across prior approaches include (1) poor modeling of long-term dependencies across many frames, (2) loss of fine high-frequency details and small structures after standard denoising, (3) high memory or latency costs when scaling memory to long sequences, and (4) limited uncertainty calibration for triggering human review. These gaps motivate combining scalable memory indexing with wavelet-based high-frequency preservation for long ultrasound videos.</w:t>
      </w:r>
    </w:p>
    <w:p>
      <w:r>
        <w:t xml:space="preserve"> </w:t>
      </w:r>
    </w:p>
    <w:p>
      <w:pPr>
        <w:pStyle w:val="Heading2"/>
      </w:pPr>
      <w:r>
        <w:t>Abstract</w:t>
      </w:r>
    </w:p>
    <w:p>
      <w:r>
        <w:t>We address segmentation of long ultrasound videos where clinical labels require both fine object boundaries and long-range temporal context, for example cardiac endocardium/epicardium across entire cardiac cycles. We propose a model that fuses a scalable external memory bank (an indexed repository of past spatiotemporal embeddings) with multi-scale temporal wavelet transforms (which separate fast vs slow dynamics and preserve high-frequency details). The memory bank provides long-term context while wavelet streams emphasize small structures and edges that standard smoothing can remove. Main contributions are: (1) an architecture combining an approximate nearest-neighbor indexed memory with level-wise wavelet temporal features, (2) explicit design for memory read/write gating driven by model uncertainty, and (3) an evaluation plan quantifying spatial accuracy, temporal stability, and clinical endpoints on long ultrasound videos. Expected outcome: improved per-video segmentation accuracy and clinically meaningful reductions in derived measurement error (e.g., ejection fraction) on long cardiac ultrasound sequences, while keeping memory and latency within practical bounds.</w:t>
      </w:r>
    </w:p>
    <w:p>
      <w:r>
        <w:t xml:space="preserve"> </w:t>
      </w:r>
    </w:p>
    <w:p>
      <w:pPr>
        <w:pStyle w:val="Heading2"/>
      </w:pPr>
      <w:r>
        <w:t>Experiments</w:t>
      </w:r>
    </w:p>
    <w:p>
      <w:r>
        <w:t>Datasets: use CAMUS (cardiac) plus a multicenter hospital archive of long apical 4-chamber videos (target 200–500 videos per organ for final claims). Reserve a pilot validation set of 50–100 videos and an independent holdout of 200 videos. Optionally include carotid longitudinal B-mode for secondary experiments. Baselines: (A) 2D UNet spatial-only; (B) UNet + short-range temporal convs (1D conv on encoder features); (C) UNet + memory-only (FAISS-indexed memory reads/writes, no wavelet); (D) UNet + wavelet-only (temporal DTCWT/db4 streams fused, no external memory); (E) Full fused model (memory + wavelet). Evaluation metrics: per-frame Dice, IoU, 95% Hausdorff distance, temporal boundary jitter (mean boundary displacement between adjacent frames), clinical EF mean absolute error (MAE), ENL (effective number of looks, measures speckle), SSIM, expected calibration error (ECE) for uncertainties. Training setup: PyTorch, AdamW optimizer, lr=1e-4, cosine LR, batch size tuned by GPU (example: 8 on 4×A100), seed control. Uncertainty: 3-model ensemble + temperature scaling for calibration; MC-dropout (10 samples) as edge fallback. Memory and wavelet ablations: sweep memory entries {256,512,1024}, ANN neighbors k ∈ {4,8,16}, write policies {always, uncertainty-gated, time-decay+LRU}, wavelet families {DTCWT (shift-invariant complex wavelet), db4, learnable lifting}, temporal levels {1,2,3}, write alpha schedules {0.2,0.3,0.5} and replay frequencies {0.0,0.1,0.2}. Primary endpoint (pre-registered): per-video Dice and EF MAE aggregated per video (paired tests). Statistical analysis: paired Wilcoxon signed-rank test, alpha=0.05, report effect sizes and 95% CI. Handling missing data: drop a video if &gt;20% frames missing or corrupted; otherwise impute frame gaps by linear interpolation for temporal inputs. Sample sizes: pilot N=50–100; target N=200–500 for final claims. Microbenchmarks: report FAISS batched query latency, DTCWT throughput, end-to-end FPS on A100 and an edge target.</w:t>
      </w:r>
    </w:p>
    <w:p>
      <w:r>
        <w:t xml:space="preserve"> </w:t>
      </w:r>
    </w:p>
    <w:p>
      <w:pPr>
        <w:pStyle w:val="Heading2"/>
      </w:pPr>
      <w:r>
        <w:t>Risk Factors And Limitations</w:t>
      </w:r>
    </w:p>
    <w:p>
      <w:r>
        <w:t>Technical failure modes: FAISS-based ANN reads are non-differentiable and can cause training instability if the gating/write scheme is not well tuned; memory overwriting or catastrophic forgetting may degrade long-term context. Wavelet denoising may over-smooth small pathological features if thresholds are not learned per-subband. Data and evaluation biases: multicenter heterogeneity (vendor, frame rate, presets), demographic imbalances (age, sex, BMI) and low prevalence of rare pathologies may cause uneven performance and limit fairness. Scalability and compute limits: large memory banks and batched ANN lookups can increase latency and GPU/CPU load, constraining real-time inference on edge devices. Generalization limits: models trained on cardiac apical 4-chamber views may not transfer to other organs or view angles without re-training. Privacy and governance constraints: multicenter data sharing may be restricted, reducing available labeled data and affecting statistical power. Evaluation limits: per-frame metrics do not capture all clinical utility; small pilot sizes may overestimate performance variability.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