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disentangled_anatomy_anomdetect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Unsupervised anomaly detection in brain MRI by disentangled anatomy learning and pseudo-healthy edge-to-image reconstruction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Decoupling anatomical structure from imaging-specific style and reconstructing pseudo-healthy MRIs from high-frequency edge representations reduces abnormal residuals and increases lesion-level detection sensitivity in unsupervised brain MRI anomaly detection compared to standard reconstruction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Current unsupervised MRI anomaly detection methods fall into two main groups: reconstruction-based models (autoencoders, variational autoencoders) that learn to reproduce input images and flag large reconstruction errors as anomalies, and generative-adversarial or latent-projection methods (GAN-based anomaly detectors, AnoGAN variants) that map inputs to learned normal manifolds. Recent works add denoising or patch-based strategies to improve localization. Disentanglement approaches that try to separate anatomy (spatial structure) and imaging style (intensity/contrast) exist but commonly lack anatomical constraints and can leak pathology into the learned "normal" space. Limitations across prior methods include: (1) pathology leakage into healthy training pools and latent spaces, (2) poor generalization across scanners, sequences and centers (domain shift), (3) low sensitivity for very small lesions, (4) pseudo-healthy reconstruction artifacts that obscure fine structural detail, and (5) weak or uncalibrated uncertainty estimates, leading to unreliable confidence measures under distribution shift.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work addresses unsupervised anomaly detection in brain MRI by learning a disentangled representation that separates anatomy (spatial structure) from imaging-specific style (intensity/contrast) and then reconstructs high-quality pseudo-healthy images from edge-derived anatomical cues. The core pipeline contains a disentanglement module constrained by anatomical priors and a differentiable one-hot encoding operator that yields an interpretable spatial anatomy code, and an edge-to-image restoration module that uses high-frequency edge information to reconstruct anatomy while recoupling imaging style to suppress abnormal residuals and preserve fine details. The main contribution is a reconstruction framework that reduces pathology leakage, enhances structural fidelity in pseudo-healthy outputs, and produces calibrated voxelwise uncertainty for clinical triage. Expected outcomes are improved lesion-level sensitivity across lesion-size bins, better multi-modality and multi-center robustness, and practical uncertainty-driven operating points that meet clinically relevant false-positive ceilings.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IXI and OASIS subsets for healthy pool (target 150–200 healthy subjects per site; min 100), ADNI subsamples for aging variation, BraTS (gliomas) and MSSEG (demyelination) for pathology, and a local multi-center PACS pull for multi-vendor testing. Data splits: stratified site-aware train/val/test; leave-one-site-out cross-site test fold. Baselines: U-Net autoencoder (AE), beta-VAE, f-AnoGAN (GAN-based anomaly detector), denoising autoencoder (DAE), and supervised U-Net segmentation trained on available labels as upper bound. Metrics: lesion-level sensitivity stratified by lesion volume bins (&lt;50 mm3, 50–500 mm3, &gt;500 mm3) with 95% bootstrap CI (1,000 resamples); patient-level ROC-AUC (abnormal vs healthy); voxel PR-AUC; FROC (sensitivity vs FP/scan up to 10 FP/scan); Dice and IoU for detected lesions; calibration metrics: ECE (expected calibration error) and Brier score; statistical tests: DeLong for AUC, paired permutation tests for paired comparisons, multiple-comparison control via Benjamini-Hochberg. Experimental setup: train on 3D patches 128^3 voxels, batch size 12–16, curriculum: 5-epoch warmup (low KL beta), ramp to target over next 20 epochs; augmentations: bias-field 50% prob, motion 10%, SNR reduction 20%; harmonization: ComBat-GAM with covariates (site, scanner_model, field_strength, age, sex). Hyperparameter grid (first ablation): anatomy channels {8,16,32,64}, slot counts {1,4,8}, z_style dims {8,32,64,128}, KL beta {0.1,0.5,1.0,2.0}, TC weight {0.1,1.0,5.0,10.0}, flow blocks {0,4,8}. Uncertainty methods: MC-dropout (20 passes), ensembles (3 seeds), test-time augmentation (TTA). Thresholding: default at healthy residual 95th percentile or tuned to achieve ≤1 FP/scan on held-out healthy validation. Ablation studies: (A) with vs without disentanglement module, (B) edge-to-image restoration vs direct image reconstruction, (C) varying anatomy channel counts and slot counts to test spatial-code fidelity, (D) harmonization on vs off to quantify pathology attenuation, (E) uncertainty method comparison (MC-dropout vs ensembles vs TTA) for calibration and clinical mapping. Sample-size guidance: aim for ≥200 ground-truth lesions per size bin and ≥300 patients balanced healthy/pathology for stable AUC estimates. Reproducibility: Docker container, fixed random seeds, and pinned library versions; record per-run GPU-hours and VRAM usage.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spatial-code collapse (anatomy map degenerates to trivial patterns), pathology leakage into the learned healthy latent/style pool, and pseudo-healthy artifacts that hide or distort lesions. Data and evaluation biases: healthy-pool contamination by undiagnosed pathology, under-representation of demographic groups or scanner vendors, and synthetic lesion realism mismatch to true small lesions. Small-lesion limits: minimal detectable lesion volume depends on voxel resolution and model capacity; detection below ~10–25 mm3 may fail. Harmonization risks: intensity harmonization (ComBat/ComBat-GAM) can attenuate lesion contrast and alter anomaly scores. Scalability and compute: large hyperparameter sweeps and ensembles require substantial GPU-hours and high-VRAM GPUs; resource limits may restrict thorough search. Reproducibility constraints: GPU nondeterminism (cuDNN non-deterministic ops) can produce numeric variability across runs. Generalization limits: domain adaptation may fail on unseen scanner types or rare pathologies; calibrated uncertainty can degrade under distribution shift. Regulatory/privacy limits: multi-site data governance, consent and de-identification constraints can limit dataset size and diversity, affecting statistical power for clinical claims.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