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lctfound_diffusion_multimodal</w:t>
      </w:r>
    </w:p>
    <w:p>
      <w:r>
        <w:t xml:space="preserve"> </w:t>
      </w:r>
    </w:p>
    <w:p>
      <w:pPr>
        <w:pStyle w:val="Heading2"/>
      </w:pPr>
      <w:r>
        <w:t>Title</w:t>
      </w:r>
    </w:p>
    <w:p>
      <w:r>
        <w:t>Diffusion-pretrained multimodal lung CT foundation model with joint clinical metadata encoding for multi-task pulmonary imaging</w:t>
      </w:r>
    </w:p>
    <w:p>
      <w:r>
        <w:t xml:space="preserve"> </w:t>
      </w:r>
    </w:p>
    <w:p>
      <w:pPr>
        <w:pStyle w:val="Heading2"/>
      </w:pPr>
      <w:r>
        <w:t>Short Hypothesis</w:t>
      </w:r>
    </w:p>
    <w:p>
      <w:r>
        <w:t>Pretraining a 3D diffusion-based encoder jointly with clinical metadata on a multi-center lung CT corpus will increase lesion-level nodule detection sensitivity at 1 FP/scan by &gt;=0.05 and mean nodule segmentation Dice by &gt;=0.03 on external held-out sites compared to an image-only supervised pretraining baseline.</w:t>
      </w:r>
    </w:p>
    <w:p>
      <w:r>
        <w:t xml:space="preserve"> </w:t>
      </w:r>
    </w:p>
    <w:p>
      <w:pPr>
        <w:pStyle w:val="Heading2"/>
      </w:pPr>
      <w:r>
        <w:t>Related Work</w:t>
      </w:r>
    </w:p>
    <w:p>
      <w:r>
        <w:t>Existing approaches fall into a few categories: (1) supervised 3D segmentation/detection networks (for example U-Net variants and FPN-based detectors) trained on task-specific labeled CT sets; these require large annotated cohorts and do not generalize well across sites. (2) Self-supervised methods for 3D medical imaging such as masked autoencoders (MAE) and contrastive learning provide label-efficient pretraining but often use reconstruction or instance discrimination objectives that may not capture complex generative structure of CT noise and contrast. (3) Generative diffusion models have strong image synthesis capacity in natural images and are emerging for medical image tasks but have been little used as large-scale pretraining objectives for 3D CT. (4) Multimodal models that combine imaging and clinical metadata exist in 2D imaging but are rare for 3D CT and typically use late fusion, limiting joint representation learning. (5) Harmonization methods such as ComBat adjust radiomic features across scanners but rely on assumptions (feature normality, balanced covariates) that may fail across diverse multi-center CT protocols. (6) Federated and differential-private training have been applied to medical imaging but show measurable utility loss and require careful privacy accounting. Limitations across prior work include reliance on task-specific labels, limited generative pretraining for volumetric CT, weak joint image–clinical pretraining, incomplete harmonization validation, and limited privacy threat modeling and accounting.</w:t>
      </w:r>
    </w:p>
    <w:p>
      <w:r>
        <w:t xml:space="preserve"> </w:t>
      </w:r>
    </w:p>
    <w:p>
      <w:pPr>
        <w:pStyle w:val="Heading2"/>
      </w:pPr>
      <w:r>
        <w:t>Abstract</w:t>
      </w:r>
    </w:p>
    <w:p>
      <w:r>
        <w:t>We address the problem of building a single foundation model for lung CT that can be adapted across detection, segmentation, enhancement, volumetry and diagnosis tasks despite limited labeled data and multi-site heterogeneity. We propose pretraining a 3D diffusion-based encoder jointly with structured clinical metadata on a large curated multi-center lung CT corpus. The core contribution is a multimodal diffusion pretraining objective that trains the model to denoise masked volumetric patches while conditioning on clinical variables, producing representations that capture both fine image structure and patient context. Expected outcomes are improved downstream nodule detection sensitivity and segmentation accuracy on held-out sites, more robust radiomic and volumetric measures after harmonization, and a single adaptable checkpoint suitable for multiple CT tasks. This work also delivers reproducible harmonization and privacy pilot evaluations to quantify cross-site generalization and privacy–utility tradeoffs.</w:t>
      </w:r>
    </w:p>
    <w:p>
      <w:r>
        <w:t xml:space="preserve"> </w:t>
      </w:r>
    </w:p>
    <w:p>
      <w:pPr>
        <w:pStyle w:val="Heading2"/>
      </w:pPr>
      <w:r>
        <w:t>Experiments</w:t>
      </w:r>
    </w:p>
    <w:p>
      <w:r>
        <w:t>Datasets: Use the curated multi-center lungCT-28M corpus (internal) for pretraining. Create a labeled downstream suite: (A) detection/segmentation set with 2,000–5,000 CTs and &gt;=2,000 labeled nodules, ensuring &gt;=500 nodules per size bin (&lt;4 mm, 4–6 mm, &gt;6 mm); (B) segmentation tasks: lungs, lobes, fibrosis with 300–500 annotated cases per task; (C) held-out external validation: at least 5 entirely external sites spanning vendors (GE, Siemens, Philips, Canon); (D) phantom scans for PSF/harmonization validation; (E) prospective 1,000-scan cohort for regulatory acceptance. Baselines: (1) supervised 3D U-Net/FPN trained from scratch, (2) MAE-style masked autoencoder pretraining (image-only), (3) contrastive pretraining (image-only), (4) diffusion pretraining without metadata, (5) proposed diffusion + clinical metadata joint pretraining. Harmonization comparisons: no-harmonization, ComBat, scanner-aware normalization, domain-adaptive normalization (adversarial). Privacy/federated variants: central training, federated with secure aggregation, DP-SGD at epsilons {0.5,1,2,5,10}. Metrics: primary: lesion-level sensitivity at 1 FP/scan (per-size bins). Secondary: segmentation Dice (nodules, lungs, fibrosis), AUC for diagnosis tasks, volumetric bias and minimum detectable change (MDC), ICC for radiomic features, calibration (ECE, Brier), runtime and GPU-hours, and privacy utility curves. Experimental setup: pretrain 3D models on lungCT-28M with patch size 16^3 voxels at 1.0 mm iso, mask ratio sweep 60–75%; training variants use identical compute budgets per model class. Downstream fine-tuning: standard protocol with frozen encoder vs full fine-tune. Validation: cross-validation within training sites, and final evaluation on fully held-out external sites. Statistical tests: hierarchical mixed-effects models for sensitivity with patient-level random intercepts, multiplicity control via Benjamini-Hochberg, and non-inferiority margins predefined. Reader study: multi-reader crossover with 12 readers, 300 cases, 4-week washout to evaluate human-AI impact. Ablations: (i) pretraining objective (diffusion vs MAE vs contrastive), (ii) metadata modalities (image-only vs image+demographics vs image+lab values), (iii) mask ratio (60/70/75%), (iv) patch size (8^3/16^3/32^3), (v) harmonization on/off and method, (vi) DP epsilon values. Acceptance thresholds: require lesion-level sensitivity &gt;=0.90 (95% CI ±0.03) on held-out sites or report failures; segmentation Dice targets &gt;=0.80 for key masks; harmonization must yield ICC &gt;=0.90 for mean lung density and &lt;2% AUC drop in downstream tasks.</w:t>
      </w:r>
    </w:p>
    <w:p>
      <w:r>
        <w:t xml:space="preserve"> </w:t>
      </w:r>
    </w:p>
    <w:p>
      <w:pPr>
        <w:pStyle w:val="Heading2"/>
      </w:pPr>
      <w:r>
        <w:t>Risk Factors And Limitations</w:t>
      </w:r>
    </w:p>
    <w:p>
      <w:r>
        <w:t>Data bias and coverage: multi-center cohort may still under-represent scanner protocols, demographics, or rare nodule morphologies, limiting generalization. Annotation noise: inter-rater variability for small nodules and fibrosis labels may reduce effective signal for training. Harmonization limits: ComBat and similar methods assume feature distributions and covariate balance; harmonization can remove pathology signal or fail for unseen protocols. Volumetry uncertainty: PSF estimation and deconvolution can amplify noise and bias volume estimates, especially on thick-slice or low-dose scans. Privacy and federated training: DP-SGD and secure aggregation can reduce model utility; privacy accounting (epsilon) selection is nontrivial. Compute and cost: diffusion pretraining at scale requires substantial GPU hours, storage and I/O bandwidth, which may limit reproducibility for smaller labs. Regulatory and clinical deployment: acceptance depends on external prospective performance and clear post-market surveillance; model performance drift in the wild is likely. Statistical limitations: subgroup power may be insufficient for rare subgroups despite overall sample-size targets. Failure modes: missed small nodules, oversegmentation in fibrotic lungs, and miscalibrated confidence under domain shift.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