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remote_personalized_nutrition_rct</w:t>
      </w:r>
    </w:p>
    <w:p>
      <w:r>
        <w:t xml:space="preserve"> </w:t>
      </w:r>
    </w:p>
    <w:p>
      <w:pPr>
        <w:pStyle w:val="Heading2"/>
      </w:pPr>
      <w:r>
        <w:t>Title</w:t>
      </w:r>
    </w:p>
    <w:p>
      <w:r>
        <w:t>A remote randomized controlled trial evaluating digital personalized nutrition and self-collected anthropometrics for adults with overweight or obesity</w:t>
      </w:r>
    </w:p>
    <w:p>
      <w:r>
        <w:t xml:space="preserve"> </w:t>
      </w:r>
    </w:p>
    <w:p>
      <w:pPr>
        <w:pStyle w:val="Heading2"/>
      </w:pPr>
      <w:r>
        <w:t>Short Hypothesis</w:t>
      </w:r>
    </w:p>
    <w:p>
      <w:r>
        <w:t>Adults with overweight or obesity who receive personalized nutrition advice will have greater percent body weight reduction at 6 months than adults who receive generic nutrition advice.</w:t>
      </w:r>
    </w:p>
    <w:p>
      <w:r>
        <w:t xml:space="preserve"> </w:t>
      </w:r>
    </w:p>
    <w:p>
      <w:pPr>
        <w:pStyle w:val="Heading2"/>
      </w:pPr>
      <w:r>
        <w:t>Related Work</w:t>
      </w:r>
    </w:p>
    <w:p>
      <w:r>
        <w:t>Digital dietary interventions and app-based weight-loss programs have shown modest average weight changes but often rely on coach-led or hybrid in-person components. Prior studies of personalized nutrition (using baseline diet, preferences, or genetics) report heterogeneous effects and limited scalability because personalization pipelines are not fully remote or lack rigorous safety controls. Image-based meal estimation algorithms and consumer Wi‑Fi scales have been developed, but validation studies frequently use small, non-diverse samples and report variable error rates; many do not report intraclass correlation (ICC) or Bland–Altman bias across subgroups. Remote randomized trials often face high attrition and uncertain adherence measurement, and few integrate formal ML governance (bias audits, versioning) or structured escalation for disordered eating and rapid weight loss. Existing gaps: limited fully remote, randomized evaluations comparing generic versus personalized nutrition at scale; insufficient, pre-specified validation of self-collected anthropometrics and meal-image estimates; unclear per-protocol/CACE definitions for remote adherence; and weak operational plans for ML fairness and safety escalation in real time.</w:t>
      </w:r>
    </w:p>
    <w:p>
      <w:r>
        <w:t xml:space="preserve"> </w:t>
      </w:r>
    </w:p>
    <w:p>
      <w:pPr>
        <w:pStyle w:val="Heading2"/>
      </w:pPr>
      <w:r>
        <w:t>Abstract</w:t>
      </w:r>
    </w:p>
    <w:p>
      <w:r>
        <w:t>We propose a fully remote, three-arm randomized controlled trial to evaluate whether digital personalized nutrition advice, with or without personalized food boxes, produces larger percent body weight reduction at 6 months than generic nutrition advice in adults with overweight or obesity. The intervention is delivered entirely online and uses self-collected data: Wi‑Fi scale weights, device activity, 24‑hour recalls, meal images, and weekly self-monitoring. The core contribution is an operationalized, safety‑first personalization engine combining interpretable rule-based safety thresholds with an ML layer for engagement optimization, plus pre-specified validation of image-based portion estimates and remote weight measurements. We will test feasibility of do-it-yourself anthropometrics, the validity of self-collected measures against clinic standards, and the comparative effectiveness of personalized vs generic advice. Expected outcomes include quantifying treatment effect on percent weight change, accuracy of self-collected measures (MAE, ICC, Bland–Altman), user experience metrics, and safety event rates. Results will inform scalable remote trials that integrate validated self-measurement, safety governance, and ML fairness monitoring.</w:t>
      </w:r>
    </w:p>
    <w:p>
      <w:r>
        <w:t xml:space="preserve"> </w:t>
      </w:r>
    </w:p>
    <w:p>
      <w:pPr>
        <w:pStyle w:val="Heading2"/>
      </w:pPr>
      <w:r>
        <w:t>Experiments</w:t>
      </w:r>
    </w:p>
    <w:p>
      <w:r>
        <w:t>Population and enrollment: Adults age 18–75 with BMI 25–45 kg/m2 recruited remotely; target randomized N = 369 (123 per arm) to detect a 3% pairwise difference with SD=7.5%, 80% power, and 20% attrition. Arms: (A) generic nutrition advice, (B) personalized nutrition advice (rule+ML), (C) personalized nutrition + personalized food box. Validation subsets: paired remote vs clinic weight (n=120) and weighed meals vs image-estimates (n=120 diverse meals). Baselines: randomization stratified by BMI category (&lt;30, 30–35, ≥35), sex, metabolic comorbidity, and readiness-to-change; block sizes varied and concealed. Primary outcome: percent weight change at 6 months measured from baseline to 6-month weight (intention-to-treat). Secondary outcomes: absolute weight change, diet-quality score change, engagement metrics (logs/week), safety events (SCOFF≥2 counts; rapid weight-loss events), and cost per kg lost. Validation metrics: MAE (mean absolute error), ICC, Bland–Altman mean bias and limits. Statistical analysis: primary test via linear mixed-effects model (random intercept per participant) with fixed effects for baseline weight, stratification variables, age, sex, comorbidity, and time (categorical). Linear mixed-effects model: a regression that models repeated measures per person while allowing each person a different baseline (random intercept). Missing data: multiple imputation by chained equations (MICE), predictors pre-specified: baseline weight, age, sex, BMI, comorbidities, readiness, self-efficacy, baseline diet-quality, early engagement metrics, and device feeds; number imputations m=20; pooling by Rubin's rules. Blinded variance re-estimation at ~30% completion of 6-month follow-up; cap automatic N increase at +25% unless DSMB approval. Per-protocol definition: average self-monitoring ≥3 logs/week during weeks 1–24 AND completion of ≥70% scheduled coaching contacts; CACE estimated via instrumental variables using randomized assignment as instrument and two-stage least squares. Comparisons and ablations: primary pairwise comparison B vs A (personalized vs generic); secondary comparison C vs B to test added benefit of food boxes; ablation: within B, random subset (n=120) with image auto-estimation disabled to measure contribution of image-based estimates to adherence and diet-quality changes. Validation analyses: compute MAE and ICC overall and by subgroup (sex, race/ethnicity, BMI band); prespecify subgroup calibration criteria (MAE ≤15%, ICC ≥0.75, Bland–Altman mean bias ≤5%). Safety monitoring: count and time-to-event analysis of SCOFF≥2 triggers and rapid weight-loss flags (&gt;1.5 kg/week or &gt;3% in 2 weeks); report descriptives and modelled differences by arm. Multiplicity: primary hypothesis prioritized (B vs A); other tests adjusted by Holm correction. All code and SAP registered pre‑database lock; analysis reproducible with version control.</w:t>
      </w:r>
    </w:p>
    <w:p>
      <w:r>
        <w:t xml:space="preserve"> </w:t>
      </w:r>
    </w:p>
    <w:p>
      <w:pPr>
        <w:pStyle w:val="Heading2"/>
      </w:pPr>
      <w:r>
        <w:t>Risk Factors And Limitations</w:t>
      </w:r>
    </w:p>
    <w:p>
      <w:r>
        <w:t>Technical failure modes: image-estimation algorithms may produce biased portion estimates for ethnic or complex dishes leading to measurement error; Wi‑Fi scales may fail to sync or drift, causing missing or biased weight data. Data and evaluation biases: self-selection may limit generalizability (digital-ready participants), and missingness may be non-random (those who disengage differ systematically). Scalability/compute limits: real-time ML personalization and image reprocessing require cloud compute and may be costly at scale. Safety limits: remote detection of disordered eating or acute symptoms may be imperfect, causing false negatives or false positives with operational burden. Statistical limits: assumed SD=7.5% may be optimistic; larger SD reduces power and may require larger enrollment. Subgroup generalization: validation metrics (MAE/ICC) may not meet targets in small subgroups (e.g., specific ethnic foods) because of limited training data. Regulatory/privacy constraints: cross-jurisdiction data rules may restrict data sharing or delay enrollment. Operational constraints: maintaining coach fidelity and low attrition remotely is challenging and may reduce ability to estimate per-protocol or CACE precisely.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