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gbs_chromogenic_spectroscopy_poct</w:t>
      </w:r>
    </w:p>
    <w:p>
      <w:r>
        <w:t xml:space="preserve"> </w:t>
      </w:r>
    </w:p>
    <w:p>
      <w:pPr>
        <w:pStyle w:val="Heading2"/>
      </w:pPr>
      <w:r>
        <w:t>Title</w:t>
      </w:r>
    </w:p>
    <w:p>
      <w:r>
        <w:t>Specific-absorption spectroscopy of chromogenic culture pigment for rapid point-of-care identification of Group B Streptococcus colonization</w:t>
      </w:r>
    </w:p>
    <w:p>
      <w:r>
        <w:t xml:space="preserve"> </w:t>
      </w:r>
    </w:p>
    <w:p>
      <w:pPr>
        <w:pStyle w:val="Heading2"/>
      </w:pPr>
      <w:r>
        <w:t>Short Hypothesis</w:t>
      </w:r>
    </w:p>
    <w:p>
      <w:r>
        <w:t>Measuring chromogenic culture pigment absorbance with specific-wavelength spectroscopy after short incubation produces a quantitative signal positively correlated with GBS colony-forming units per swab, enabling classification of colonization status with ≥95% sensitivity and ≥98% specificity versus a composite reference within a ≤30-minute workflow.</w:t>
      </w:r>
    </w:p>
    <w:p>
      <w:r>
        <w:t xml:space="preserve"> </w:t>
      </w:r>
    </w:p>
    <w:p>
      <w:pPr>
        <w:pStyle w:val="Heading2"/>
      </w:pPr>
      <w:r>
        <w:t>Related Work</w:t>
      </w:r>
    </w:p>
    <w:p>
      <w:r>
        <w:t>Current approaches for GBS detection include enriched culture with selective broth and subculture (gold standard) which is sensitive but requires 18–48 hours and lab infrastructure; chromogenic agar plates that produce colored colonies for easier visual reading but require overnight growth and are subject to reader variability; and molecular assays (PCR or isothermal tests) that are rapid and sensitive but often require dedicated instruments, trained staff, and higher per-test costs. Point-of-care molecular systems exist but face tradeoffs in cost, CLIA-waiver complexity, and supply chain constraints. Spectroscopic methods (absorbance or optical density) are widely used to quantify bacterial growth or pigments in research and industry, but prior work has not combined chromogenic media pigment chemistry with specific-wavelength absorption spectroscopy in a closed, rapid POC workflow for GBS. Limitations in existing methods are: slow turnaround (cultures), subjectivity and lack of quantitation (visual chromogenic), laboratory dependence and cost (molecular), and lack of published POCT workflows leveraging pigment spectroscopy for pathogen-specific quantitation.</w:t>
      </w:r>
    </w:p>
    <w:p>
      <w:r>
        <w:t xml:space="preserve"> </w:t>
      </w:r>
    </w:p>
    <w:p>
      <w:pPr>
        <w:pStyle w:val="Heading2"/>
      </w:pPr>
      <w:r>
        <w:t>Abstract</w:t>
      </w:r>
    </w:p>
    <w:p>
      <w:r>
        <w:t>Group B Streptococcus (GBS) colonization screening in pregnancy requires timely information to guide intrapartum antibiotic prophylaxis. We propose a rapid point-of-care method that uses chromogenic culture media—where GBS enzymatic activity produces a specific pigment—and measures pigment concentration by specific-wavelength absorption spectroscopy. The optical signal is converted to an electrical readout and a computed variable that quantitatively maps to bacterial load (CFU/swab). The main contribution is a closed, short-incubation assay workflow that produces an objective numerical output permitting a binary colonization decision within ≤30 minutes. Expected outcomes include analytical performance with a limit of detection near 100 CFU/swab, intra-run precision suitable for semi-quantitation, and clinical sensitivity and specificity comparable to enriched culture or validated laboratory PCR. If successful, this approach would enable rapid intrapartum decision-making without full molecular testing, reduce subjectivity of color reading, and keep per-test costs and instrument complexity lower than typical molecular POC systems.</w:t>
      </w:r>
    </w:p>
    <w:p>
      <w:r>
        <w:t xml:space="preserve"> </w:t>
      </w:r>
    </w:p>
    <w:p>
      <w:pPr>
        <w:pStyle w:val="Heading2"/>
      </w:pPr>
      <w:r>
        <w:t>Experiments</w:t>
      </w:r>
    </w:p>
    <w:p>
      <w:r>
        <w:t>Datasets: (1) Contrived swabs prepared by spiking known GBS strains into transport matrix at concentrations 10^1, 2x10^1, 5x10^1, 10^2, 3x10^2, 10^3, 10^4 CFU/swab; (2) Inclusivity panel: ≥35 GBS isolates covering serotypes Ia–IX and cfb-variant strains; (3) Exclusivity panel: non-GBS streptococci and common vaginal flora at 10^6 CFU/swab; (4) Clinical cohorts: antenatal n=450 and intrapartum n=275, dual rectovaginal swabs (one for POCT, one for composite reference). Baselines: enriched selective broth culture with MALDI-TOF confirmation, validated lab PCR (cfb + sip targets), and visual chromogenic read by blinded technician. Evaluation metrics: Probit LOD (95% detection probability) with 95% CI, confirmatory 60-replicate acceptance (≥57/60 positives); sensitivity and specificity with 95% CI (target sensitivity ≥95%, specificity ≥98%); time-to-result (median, IQR); invalid/indeterminate rate (target ≤3%); intra-/inter-run coefficient of variation (CV) for quantitative signal (target ≤15% intra-run, ≤20% LoQ CV); LoQ defined as lowest concentration with CV ≤20%; dynamic range in log10. Experimental setup: closed cartridge with chromogenic medium and reader performing specific-wavelength absorbance measurement; run contrived Probit panel with 20 replicates per concentration for initial Probit modelling; perform 60 replicate LOD confirmation at Probit-estimated LOD; run inclusivity/exclusivity panels and interference tests (blood, mucus) at defined concentrations; clinical study: blind POCT operator to reference results, run POCT at point-of-care, collect time stamps. Reproducibility: test 3 operators × 2 instruments × 3 lots, each with n=10 replicates at low, mid, high concentrations. Ablation studies: (A) wavelength selection: single-wavelength vs narrow multi-wavelength spectral deconvolution; (B) incubation time: 10, 20, 30 minutes to assess time-to-detection tradeoff; (C) signal processing: raw absorbance vs background-subtracted vs ratio metrics; (D) visual read vs spectroscopic read. Statistical analysis: Probit regression for LOD, ROC curves, per-cohort sensitivity/specificity, operator/instrument ANOVA for CVs, and paired comparisons to baselines.</w:t>
      </w:r>
    </w:p>
    <w:p>
      <w:r>
        <w:t xml:space="preserve"> </w:t>
      </w:r>
    </w:p>
    <w:p>
      <w:pPr>
        <w:pStyle w:val="Heading2"/>
      </w:pPr>
      <w:r>
        <w:t>Risk Factors And Limitations</w:t>
      </w:r>
    </w:p>
    <w:p>
      <w:r>
        <w:t>Technical failure modes: (1) weak or absent pigment production by some GBS strains or cfb-variant strains causing false negatives; (2) non-GBS organisms producing similar pigment on chromogenic media causing false positives; (3) interference from blood, mucus, or topical products altering absorbance signal. Data and evaluation biases: clinical cohorts may not represent global serotype distribution; prevalence-dependent PPV/NPV will vary. Scalability and manufacturing limits: cartridge material variability, reagent lyophilization stability, and sensor calibration drift may limit lot-to-lot consistency. Compute and algorithm limits: spectral unmixing errors or baseline drift can reduce quantitation accuracy. Generalization limits: performance validated on selected clinical sites may not transfer to all settings (different flora, temperatures, user variability). Regulatory and usability constraints: meeting CLIA-waiver simplicity while preserving analytical robustness may constrain instrument features. Environmental limits: ambient lighting or temperature deviations at POC may affect the optical measurement if not fully enclosed.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