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phnom_dek_slag_trajectories</w:t>
      </w:r>
    </w:p>
    <w:p>
      <w:r>
        <w:t xml:space="preserve"> </w:t>
      </w:r>
    </w:p>
    <w:p>
      <w:pPr>
        <w:pStyle w:val="Heading2"/>
      </w:pPr>
      <w:r>
        <w:t>Title</w:t>
      </w:r>
    </w:p>
    <w:p>
      <w:r>
        <w:t>Integrated geochemical, Fe-speciation, experimental and thermodynamic modelling to resolve technological change in iron smelting at Phnom Dek</w:t>
      </w:r>
    </w:p>
    <w:p>
      <w:r>
        <w:t xml:space="preserve"> </w:t>
      </w:r>
    </w:p>
    <w:p>
      <w:pPr>
        <w:pStyle w:val="Heading2"/>
      </w:pPr>
      <w:r>
        <w:t>Short Hypothesis</w:t>
      </w:r>
    </w:p>
    <w:p>
      <w:r>
        <w:t>If smelters at Phnom Dek altered smelting recipes (flux or ore proportions), then slag bulk chemistry, phase assemblages and Fe3+/Fe2+ ratios will shift systematically and these shifts can be reproduced by calibrated thermodynamic models and experimental smelts.</w:t>
      </w:r>
    </w:p>
    <w:p>
      <w:r>
        <w:t xml:space="preserve"> </w:t>
      </w:r>
    </w:p>
    <w:p>
      <w:pPr>
        <w:pStyle w:val="Heading2"/>
      </w:pPr>
      <w:r>
        <w:t>Related Work</w:t>
      </w:r>
    </w:p>
    <w:p>
      <w:r>
        <w:t>Prior archaeometallurgical studies have used bulk geochemistry (XRF/ICP-MS), petrography, EPMA (electron probe), LA-ICP-MS (laser ablation for trace elements), XRD (mineral ID), and standalone thermodynamic models (FactSage or MELTS) to interpret slag and furnace remains. Some teams applied Mössbauer or XANES for Fe redox (Fe3+/Fe2+) but rarely integrated these with calibrated FactSage runs, viscosity measurements, alteration screening, inter-lab QA or dense radiocarbon sampling. Limitations in existing approaches include: reliance on bulk chemistry that obscures phase-level processes; thermodynamic runs without propagated analytical uncertainty or experimental validation; inconsistent treatment of altered glass (no numeric exclusion rules); weak LA-ICP-MS matrix-matching for light elements (Na, P); sparse Mössbauer/XANES use leading to uncertain fO2 constraints; few round-robin QA programs to check inter-lab bias; and chronologies with too few dates to resolve century-scale changes. These gaps reduce reproducibility and weaken causal linkage between recipe change and slag signatures.</w:t>
      </w:r>
    </w:p>
    <w:p>
      <w:r>
        <w:t xml:space="preserve"> </w:t>
      </w:r>
    </w:p>
    <w:p>
      <w:pPr>
        <w:pStyle w:val="Heading2"/>
      </w:pPr>
      <w:r>
        <w:t>Abstract</w:t>
      </w:r>
    </w:p>
    <w:p>
      <w:r>
        <w:t>This project tests whether long-term changes in iron-smelting recipes at Phnom Dek produced measurable, reproducible shifts in slag chemistry and phase assemblages. We combine phase-level geochemistry (EPMA), trace analysis (LA-ICP-MS), bulk chemistry (XRF/ICP-MS), mineral ID (XRD, SEM/EDS), Fe-speciation (57Fe Mössbauer and Fe K-edge XANES), calibrated thermodynamic/viscosity modelling (FactSage with Monte Carlo uncertainty propagation), and controlled experimental smelts with high-temperature viscosity tests. We will analyze 60–90 stratified archaeological slags, conduct 30+ initial radiocarbon dates, run inter-lab round-robins, and produce synthetic quenched glasses for viscosity and model validation. The main contribution is an integrated, reproducible workflow that links recipe variables (flux, ore, fO2) to slag signatures and temporal clusters, with explicit numeric rules for altered-sample handling and uncertainty bounds for model outputs. Expected outcomes are robust geochemical clusters tied to a well-resolved chronology, validated process models that reproduce archaeological textures and phases, and open SOPs and datasets that support local capacity and reproducible archaeometallurgy.</w:t>
      </w:r>
    </w:p>
    <w:p>
      <w:r>
        <w:t xml:space="preserve"> </w:t>
      </w:r>
    </w:p>
    <w:p>
      <w:pPr>
        <w:pStyle w:val="Heading2"/>
      </w:pPr>
      <w:r>
        <w:t>Experiments</w:t>
      </w:r>
    </w:p>
    <w:p>
      <w:r>
        <w:t>Datasets: (1) Archaeological: 60–90 slag samples stratified by context from Phnom Dek; 30 initial AMS radiocarbon dates (short-lived charcoal) + 15 targeted follow-ups. (2) Analytical: EPMA maps/spot analyses, LA-ICP-MS spot transects (50–100 μm), XRF/ICP-MS bulk, XRD powders, SEM/EDS imaging, 57Fe Mössbauer spectra (&gt;1e6 counts), Fe K-edge XANES, and high-T viscosity data (1200–1500°C) from synthetic quenched glasses. (3) Reference: certified standards (NIST SRM610/611, MPI-DING, USGS glasses), synthetic mixed-phase standards. Baselines: Baseline A = bulk XRF/ICP-MS clustering only; Baseline B = petrography + EPMA without Fe-speciation or model calibration; Baseline C = FactSage modelling without Monte Carlo uncertainty or experimental validation. Evaluation metrics: cluster agreement with stratigraphy (Adjusted Rand Index), cluster stability (bootstrap purity), RMSE between model-predicted and EPMA-measured phase fractions, RMSE majors/traces for inter-lab comparisons, viscosity fit R^2 and activation energy error, OxCal Agreement Index for chronology, and detection limits/LOD accuracy for Na/P in LA-ICP-MS. Experimental setup: sample preparation per SOP (epoxy impregnation, polish to 0.05 μm), EPMA settings (15 kV, 20 nA; defocused beam 10–20 μm for glass), LA-ICP-MS (193 nm, 50–100 μm spot, 5–10 Hz), Mössbauer (&lt;63 μm powder, room and low-T runs), viscosity (rotating spindle or concentric cylinder, triplicates). Modelling: FactSage SLAG/FToxid + FactPS, Monte Carlo ≥1000 iterations propagating EPMA/LA-ICP-MS uncertainties. Experimental smelts: controlled furnace matrix with n≥3 replicates per recipe condition; thermocouple array and fO2 logging. Inter-lab round-robin: 3 labs, 10 representative samples. Ablation/ablation study: (1) remove Mössbauer/XANES from pipeline and record changes in RMSE and cluster stability; (2) remove alteration-screened vs include-all samples; (3) use generic SRM vs matrix-matched secondary standards for LA-ICP-MS to quantify Na/P bias; (4) run FactSage with and without Monte Carlo uncertainty to compare confidence intervals. All experiments record raw data, SOP versions, and modelling scripts for reproducibility.</w:t>
      </w:r>
    </w:p>
    <w:p>
      <w:r>
        <w:t xml:space="preserve"> </w:t>
      </w:r>
    </w:p>
    <w:p>
      <w:pPr>
        <w:pStyle w:val="Heading2"/>
      </w:pPr>
      <w:r>
        <w:t>Risk Factors And Limitations</w:t>
      </w:r>
    </w:p>
    <w:p>
      <w:r>
        <w:t>1) Alteration of glasses: post-depositional chemical change (alkali loss, secondary carbonates) can bias EPMA/LA-ICP-MS; altered samples may need exclusion or down-weighting. 2) Mössbauer limits: poorly crystalline or very fine-grained Fe phases give uncertain fits; absorber-thickness and standard calibration affect quantification. 3) LA-ICP-MS light-element accuracy: Na and P are hard to quantify without matrix-matched standards; spot heterogeneity can increase variance. 4) Crucible/contamination: crucible materials may leach Al/Si/Cr/Ca; pre-run blanks and control runs are needed. 5) fO2 sensor failure or slow response: zirconia/solid-state probes can be damaged in direct flame or by slag; readings must be cross-checked with Fe3+/ΣFe proxies. 6) Sample size and chronology: fewer dates or samples reduce temporal resolution and statistical power. 7) Inter-lab bias and instrument drift: without strict QA rounds, comparability suffers. 8) Permits and ethics: export, curation, and data sharing require agreed custodial arrangements; delays can affect timelines. 9) Generalization: findings may be site-specific to Phnom Dek ore and fuels and may not transfer directly to other regions. 10) Resource limits: high-cost analyses (Mössbauer/XANES, round-robins, viscosity rigs) constrain scale and speed.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