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reassess_composite_bow_eurasia</w:t>
      </w:r>
    </w:p>
    <w:p>
      <w:r>
        <w:t xml:space="preserve"> </w:t>
      </w:r>
    </w:p>
    <w:p>
      <w:pPr>
        <w:pStyle w:val="Heading2"/>
      </w:pPr>
      <w:r>
        <w:t>Title</w:t>
      </w:r>
    </w:p>
    <w:p>
      <w:r>
        <w:t>Integrating iconographic, material, and biomolecular analyses to reassess the origins of full horn–wood–sinew composite bows in ancient Eurasia</w:t>
      </w:r>
    </w:p>
    <w:p>
      <w:r>
        <w:t xml:space="preserve"> </w:t>
      </w:r>
    </w:p>
    <w:p>
      <w:pPr>
        <w:pStyle w:val="Heading2"/>
      </w:pPr>
      <w:r>
        <w:t>Short Hypothesis</w:t>
      </w:r>
    </w:p>
    <w:p>
      <w:r>
        <w:t>If an archaeological object is a deliberately manufactured full composite bow (horn–wood–sinew laminated with continuous adhesive), then it will show a laminated cross-section with multiple material interfaces, a chemically continuous adhesive at those interfaces, and species-specific protein markers consistent with manufacture rather than repair or later addition.</w:t>
      </w:r>
    </w:p>
    <w:p>
      <w:r>
        <w:t xml:space="preserve"> </w:t>
      </w:r>
    </w:p>
    <w:p>
      <w:pPr>
        <w:pStyle w:val="Heading2"/>
      </w:pPr>
      <w:r>
        <w:t>Related Work</w:t>
      </w:r>
    </w:p>
    <w:p>
      <w:r>
        <w:t>Prior approaches fall into three broad families: iconographic/typological studies that infer bow type from art and shape; single-technique material studies (e.g., GC–MS on adhesives or ZooMS on single fragments); and small experimental-replication programs. Iconographic studies are good at broad geographic mapping but cannot prove material construction. Single-technique material studies provide direct chemical or taxonomic data but often have tiny sample sizes, lack inter-lab standards, and cannot by themselves distinguish manufacture from repair. Experimental work shows plausible performance envelopes but is rarely integrated with biomolecular or chronological data. Across these approaches common weaknesses are inconsistent definitions of "composite bow," absence of a scored diagnostic framework, few standardized sampling SOPs, limited low‑mass proteomics evidence, no coordinated SRM (standard reference material) round-robins, and weak Bayesian chronological modelling tied to adhesive or laminate dates. These gaps leave many claims unresolved or equivocal.</w:t>
      </w:r>
    </w:p>
    <w:p>
      <w:r>
        <w:t xml:space="preserve"> </w:t>
      </w:r>
    </w:p>
    <w:p>
      <w:pPr>
        <w:pStyle w:val="Heading2"/>
      </w:pPr>
      <w:r>
        <w:t>Abstract</w:t>
      </w:r>
    </w:p>
    <w:p>
      <w:r>
        <w:t>This study tests whether full composite bows (built from horn, wood, and sinew laminated with continuous adhesive) existed and spread in Bronze–Iron Age Eurasia by integrating iconographic records, high-resolution imaging, chemical and biomolecular assays, experimental replication, and Bayesian chronology. We develop a scored diagnostic decision tree that combines laminated microstructure, adhesive chemistry, and species-specific protein evidence, and we validate it in blind rounds against known controls. Methods include micro-CT imaging, FTIR and GC–MS adhesive profiling, ZooMS and low-input shotgun proteomics for species identification, inter‑lab SRM round-robin tests, experimental bow replication with mechanical testing, and OxCal Bayesian models for adhesive-based radiocarbon dates. Main contributions are (1) a reproducible, numeric diagnostic framework tied to ROC-derived thresholds, (2) validated low-mass biomolecular workflows for adhesive materials, and (3) an open FAIR geodatabase linking scores, raw spectra, CT data, and calibrated dates. Expected outcome is a defensible reassessment of early composite-bow evidence that can distinguish deliberate manufacture from repairs or convergent forms.</w:t>
      </w:r>
    </w:p>
    <w:p>
      <w:r>
        <w:t xml:space="preserve"> </w:t>
      </w:r>
    </w:p>
    <w:p>
      <w:pPr>
        <w:pStyle w:val="Heading2"/>
      </w:pPr>
      <w:r>
        <w:t>Experiments</w:t>
      </w:r>
    </w:p>
    <w:p>
      <w:r>
        <w:t>Datasets: (A) Archaeological candidate corpus of 50 objects from Eurasia dated c.3000–500 BCE with good contextual metadata; (B) blind control set of 12 objects (4 known composites, 4 known self-bows, 4 repaired objects); (C) experimental replication set: 3 recipe families, 8–12 bows per recipe (minimum 8) and 5–10 mechanical replicates per component; (D) SRM panel: bovine hide glue, pine resin, birch pitch, commercial bitumen, modern collagen extracts. Baselines: (1) iconography-only classification; (2) single-technique material classification (GC–MS or ZooMS alone); (3) current typological assignment records. Metrics: diagnostic score accuracy, sensitivity, specificity, ROC AUC for decision-tree classification; peptide counts and peptide-spectrum-match (PSM) counts for proteomics; FTIR cosine similarity; GC–MS biomarker ratios (e.g., abietic/dehydroabietic signal ratio); radiocarbon success rate (% usable dates) and Bayesian posterior interval width for phase boundaries (years); mechanical effect sizes (mean draw force, stored energy, failure strain) with ANOVA F and Cohen's f. Experimental setup: micro-CT at 5–10 µm voxel size; micro-sampling masses 0.5–2 mg for ZooMS, 2–10 mg for adhesives, max 30 mg only with permission; proteomics SP3 low-input workflow (trypsin + chymotrypsin), Orbitrap nanoLC–MS/MS, report peptide/protein FDR ≤1%; GC–MS and FTIR run with SRM calibration. Radiocarbon: 30 targeted AMS runs with 50% contingency (45 targets); include compound-specific radiocarbon (CSRA) when aquatic biomarkers found. Ablation studies: (i) full pipeline vs without proteomics; (ii) full pipeline vs without adhesive chemistry; (iii) full pipeline vs imaging-only; measure delta in ROC AUC and classification error. Inter-lab round-robin: blind-split SRMs and 20 adhesive aliquots across 4 labs, compute coefficient of variation and apply correction factors. Evaluation: require decision-tree secure classification to achieve ≥0.90 specificity on blind controls and report confusion matrices, ROC curves, mechanical ANOVA with planned contrasts, and Bayesian model sensitivity to Delta_R priors.</w:t>
      </w:r>
    </w:p>
    <w:p>
      <w:r>
        <w:t xml:space="preserve"> </w:t>
      </w:r>
    </w:p>
    <w:p>
      <w:pPr>
        <w:pStyle w:val="Heading2"/>
      </w:pPr>
      <w:r>
        <w:t>Risk Factors And Limitations</w:t>
      </w:r>
    </w:p>
    <w:p>
      <w:r>
        <w:t>Preservation and sample mass: adhesives and proteins may be too degraded or present in &lt;0.5 mg, reducing recovery and yielding false negatives. Contamination: conservation materials or modern handling can mimic adhesives; spectral overlap may confuse identification. Inter-lab variance: different prep and instruments can produce inconsistent biomarker ratios and peptide counts. Radiocarbon issues: aquatic reservoir effects or mixed-source carbon in adhesives can bias dates and widen Bayesian intervals. Permissions and ethics: museums or nations may deny destructive sampling or impose strict caps below analytic needs. Statistical assumptions: assumed effect sizes for mechanical differences may be wrong, causing underpowered tests. Generalization limits: findings from sampled regions/periods may not apply across all Eurasia. Blind-validation failure: if the decision tree cannot reach ≥0.90 specificity on controls, methods must be revised. Scalability: detailed imaging, proteomics, and SRM round-robins require funding, time, and lab coordination that may limit wider rollout.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