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pleistocene_western_europe_dispersals</w:t>
      </w:r>
    </w:p>
    <w:p>
      <w:r>
        <w:t xml:space="preserve"> </w:t>
      </w:r>
    </w:p>
    <w:p>
      <w:pPr>
        <w:pStyle w:val="Heading2"/>
      </w:pPr>
      <w:r>
        <w:t>Title</w:t>
      </w:r>
    </w:p>
    <w:p>
      <w:r>
        <w:t>Integrating multi-proxy chronological, palaeoenvironmental, biomolecular and behavioural data with Bayesian and agent-based models to test drivers of the early–middle Pleistocene occupation gap in western Europe</w:t>
      </w:r>
    </w:p>
    <w:p>
      <w:r>
        <w:t xml:space="preserve"> </w:t>
      </w:r>
    </w:p>
    <w:p>
      <w:pPr>
        <w:pStyle w:val="Heading2"/>
      </w:pPr>
      <w:r>
        <w:t>Short Hypothesis</w:t>
      </w:r>
    </w:p>
    <w:p>
      <w:r>
        <w:t>Reduced palaeoenvironmental habitat suitability and landscape connectivity in western Europe during the early Pleistocene caused delayed hominin dispersal and sustained occupation relative to Asia, rather than differential preservation or dating bias being the primary cause.</w:t>
      </w:r>
    </w:p>
    <w:p>
      <w:r>
        <w:t xml:space="preserve"> </w:t>
      </w:r>
    </w:p>
    <w:p>
      <w:pPr>
        <w:pStyle w:val="Heading2"/>
      </w:pPr>
      <w:r>
        <w:t>Related Work</w:t>
      </w:r>
    </w:p>
    <w:p>
      <w:r>
        <w:t>Existing work documents early hominin presence in Asia earlier than in western Europe and uses disparate datasets: single-method chronologies (OSL, ESR, U-series), local palaeoenvironmental reconstructions (pollen, stable isotopes), sporadic biomolecular signals (sedaDNA, aDNA, palaeoproteomics), and lithic technology studies. Comparative syntheses have been limited by heterogeneous QC thresholds, inconsistent metadata, small sample sizes, and lack of standardized contamination controls. Chronological integration efforts often rely on site-level calibrations without hierarchical multi-site models, producing wide or conflicting age ranges. Agent-based demographic studies exist but are rarely constrained by high-resolution palaeoenvironmental layers or tightly integrated chronological uncertainties. Limitations: (1) inconsistent dating QC and propagation of assay uncertainty into models; (2) sparse, uneven spatial sampling and low biomolecular yields reducing power; (3) absence of standardized negative-control rules causing potential false positives in ancient biomolecular claims; (4) limited cross-validation of ABMs against independent archaeological pattern metrics. These weaknesses prevent decisive attribution of the Asia–Europe chronological gap to environment, demography, or sampling bias.</w:t>
      </w:r>
    </w:p>
    <w:p>
      <w:r>
        <w:t xml:space="preserve"> </w:t>
      </w:r>
    </w:p>
    <w:p>
      <w:pPr>
        <w:pStyle w:val="Heading2"/>
      </w:pPr>
      <w:r>
        <w:t>Abstract</w:t>
      </w:r>
    </w:p>
    <w:p>
      <w:r>
        <w:t>This study tests whether ecological constraints, rather than sampling or dating bias, explain the observed chronological gap between early Pleistocene occupations in Asia and western Europe. We combine standardized multi-method geochronology, palaeoenvironmental proxies, ancient biomolecules, and lithic datasets into hierarchically structured Bayesian chronological models and spatially explicit agent-based demographic simulations. Main contributions are: (1) a reproducible pipeline with explicit QC thresholds and auditable triage metadata for destructive sampling; (2) hierarchical OxCal/ChronoModel chronologies that propagate assay-level uncertainty into regional age estimates; (3) habitat-suitability and landscape-connectivity layers derived from palaeoenvironmental proxies used to constrain agent-based dispersal models. We will evaluate competing models (environment-driven delay vs. preservation/dating bias) using Bayesian model comparison, cross-validation, and pattern-oriented metrics. Expected outcomes are a quantified, testable attribution of the chronological gap, open-source simulation and modelling artifacts, and clear recommendations for target sampling to resolve residual uncertainty.</w:t>
      </w:r>
    </w:p>
    <w:p>
      <w:r>
        <w:t xml:space="preserve"> </w:t>
      </w:r>
    </w:p>
    <w:p>
      <w:pPr>
        <w:pStyle w:val="Heading2"/>
      </w:pPr>
      <w:r>
        <w:t>Experiments</w:t>
      </w:r>
    </w:p>
    <w:p>
      <w:r>
        <w:t>Datasets: (A) Published calibrated ages and metadata for early–middle Pleistocene sites across western Eurasia and Asia (site-level ages, methods, QC flags). (B) New field-targeted multi-proxy datasets from 6 pilot western European horizons: per horizon collect minimum 3 spatially separated proveniences (&gt;5 m apart), obtain ≥2 independent dating methods (OSL, ESR, U-series) and replicate as per QC; palaeoenvironment proxies (pollen counts, sediment LOI, stable isotopes), biomolecules (triplicate sedaDNA subsamples 5–10 g, petrous/tooth where available), and standardized lithic inventories (n≥200 items per major horizon where feasible). Baselines: (1) current published chronologies without hierarchical modelling; (2) models assuming sampling/dating bias explains gap (null); (3) models with habitat-connectivity constraints (alternative). Modelling pipeline: (1) Quality-filter ages per numeric thresholds (OSL dose-rate uncertainty ≤10%, OSL overdispersion ≤20%, ESR replicate CV ≤10%, U-series closed-system p&gt;0.05). (2) Calibrate ages in OxCal v4.x with hierarchical ChronoModel/Bchron synthesis; use trapezoidal phase priors for occupations and OxCal t-type outlier model with prior 5% (sensitivity 1%–20%). (3) Generate palaeoenvironmental habitat-suitability maps per time-slice using pollen + isotope proxies (raster layers). (4) Run spatial agent-based models (ABM) with parameter sweeps: dispersal kernel mean = {1,5,10,20} km/generation, intrinsic growth r = {0.01,0.05,0.1}, carrying capacity per cell derived from habitat suitability. (5) Link chronological uncertainty by sampling posterior age ensembles into ABM start times. Evaluation metrics: (i) Bayes factor comparing environment-driven vs bias-only chronological models (BF&gt;3 indicates moderate support). (ii) Posterior shift in first-sustained-occupation boundary (median and 95% credible interval). (iii) Pattern-oriented ABM metrics: spatial Kolmogorov–Smirnov distance between simulated and observed site-density maps, RMSE of site counts per region, and ABC distance metric using summary stats (first-appearance times, mean inter-site distance, lithic-tech turnover rate). (iv) Cross-validation: leave-one-site-out predictive coverage (% of excluded site true ages within 95% posterior predictive interval). Ablation studies: (A) remove palaeoenvironmental constraints and re-run ABM; (B) drop biomolecular data from chronological model; (C) vary OxCal outlier prior (1%,5%,10%,20%) and report sensitivity of first-occupation boundaries. Acceptance criteria: model scenario that reproduces observed site distributions with lower ABC distance and higher Bayes factor is supported. Reproducibility: publish OxCal scripts, ABM code, parameter grids, random seeds, and synthetic test datasets.</w:t>
      </w:r>
    </w:p>
    <w:p>
      <w:r>
        <w:t xml:space="preserve"> </w:t>
      </w:r>
    </w:p>
    <w:p>
      <w:pPr>
        <w:pStyle w:val="Heading2"/>
      </w:pPr>
      <w:r>
        <w:t>Risk Factors And Limitations</w:t>
      </w:r>
    </w:p>
    <w:p>
      <w:r>
        <w:t>Technical failures: low biomolecular preservation (aDNA/sedaDNA yields below authentication thresholds) and failed dating assays (insufficient material or high OSL overdispersion) will reduce usable data. Contamination and inconsistent negative-control performance may produce false positives in biomolecular datasets. Data biases: uneven geographic sampling and historical collecting bias may confound regional comparisons. Model limitations: ABMs require simplified assumptions (e.g., dispersal kernels, constant generation time) that may not capture cultural complexity. Scalability: large ABM parameter sweeps and Monte Carlo chronological propagation are compute-intensive and may be limited by available HPC resources. Uncertainty propagation: integrating assay-level uncertainties fully into ABM likelihoods is computationally heavy and may require approximation, reducing exactness. Generalization: conclusions may be specific to western Europe and the selected time windows and may not apply to other regions or shorter-term local processes. Regulatory and ethical constraints: human-remains sampling permissions and data-access embargoes may delay biomolecular analyses and sharing.</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