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english_education_misrecognition</w:t>
      </w:r>
    </w:p>
    <w:p>
      <w:r>
        <w:t xml:space="preserve"> </w:t>
      </w:r>
    </w:p>
    <w:p>
      <w:pPr>
        <w:pStyle w:val="Heading2"/>
      </w:pPr>
      <w:r>
        <w:t>Title</w:t>
      </w:r>
    </w:p>
    <w:p>
      <w:r>
        <w:t>A mixed-methods, theory-informed study measuring misrecognition and resource misalignment in English-in-education policy for low-SES students in a Bangladeshi school</w:t>
      </w:r>
    </w:p>
    <w:p>
      <w:r>
        <w:t xml:space="preserve"> </w:t>
      </w:r>
    </w:p>
    <w:p>
      <w:pPr>
        <w:pStyle w:val="Heading2"/>
      </w:pPr>
      <w:r>
        <w:t>Short Hypothesis</w:t>
      </w:r>
    </w:p>
    <w:p>
      <w:r>
        <w:t>Increased responsibilisation language in school policy and funding rules causes higher classification misrecognition (higher CMI) and reduced targeted funding per low-proficiency pupil, which leads to lower measured English progress among low-SES students.</w:t>
      </w:r>
    </w:p>
    <w:p>
      <w:r>
        <w:t xml:space="preserve"> </w:t>
      </w:r>
    </w:p>
    <w:p>
      <w:pPr>
        <w:pStyle w:val="Heading2"/>
      </w:pPr>
      <w:r>
        <w:t>Related Work</w:t>
      </w:r>
    </w:p>
    <w:p>
      <w:r>
        <w:t>Three strands of prior work are directly relevant: (1) policy and governmentality analyses that read education policy texts through lenses of responsibilisation and neoliberal development; these provide strong theoretical critique but typically lack quantitative operationalisation of misrecognition. (2) Quantitative education studies that use administrative flags (e.g., EAL labels) and attainment records to evaluate resource allocation and inspection bias; these produce population estimates but often assume administrative flags are accurate and rarely validate misclassification or integrate classroom ethnography. (3) Sociolinguistic and translanguaging research documenting multilingual classroom practices; these highlight practical pedagogies neglected by policy but are rarely linked to funding/inspection data. Limitations across these approaches include (a) weak cross-validation between administrative measures and lived experience, (b) limited causal identification around policy changes, (c) scarce operational definitions for misrecognition that policy actors can audit, and (d) insufficient attention to intersectional subgroup power and fairness diagnostics. No prior work combines theory-led qualitative fieldwork, explicit misrecognition indices, and a registered quantitative validation and causal plan in a low-income school setting.</w:t>
      </w:r>
    </w:p>
    <w:p>
      <w:r>
        <w:t xml:space="preserve"> </w:t>
      </w:r>
    </w:p>
    <w:p>
      <w:pPr>
        <w:pStyle w:val="Heading2"/>
      </w:pPr>
      <w:r>
        <w:t>Abstract</w:t>
      </w:r>
    </w:p>
    <w:p>
      <w:r>
        <w:t>This study investigates how English-in-education policy framed as ‘‘development’’ produces misrecognition of linguistic need and misalignment of resources for low-socioeconomic-status (SES) students in a Bangladeshi school. We combine theory-informed qualitative fieldwork (interviews, focus groups, classroom observation) with operational quantitative measures that quantify classification errors and resource mismatches. Main contributions are (1) explicit, formulaic misrecognition indices (Over-Recognition Rate, Under-Recognition Rate, Classification Misrecognition Index, Resource-Alignment Ratio, Inspection Bias Score, Translanguaging Inclusion Score); (2) a mixed-methods validation workflow linking manual audits and administrative records to latent-class models that propagate classification uncertainty into inference (latent-class = statistical model estimating true but unobserved states); and (3) a pre-registered analysis plan using multilevel models and quasi-experimental checks to test causal links between policy language, misrecognition, funding, and English progress. Expected outcomes are reproducible indices and evidence showing whether and how development-framed English policy systematically misrecognises students, with implications for fairer policy metrics and school practice.</w:t>
      </w:r>
    </w:p>
    <w:p>
      <w:r>
        <w:t xml:space="preserve"> </w:t>
      </w:r>
    </w:p>
    <w:p>
      <w:pPr>
        <w:pStyle w:val="Heading2"/>
      </w:pPr>
      <w:r>
        <w:t>Experiments</w:t>
      </w:r>
    </w:p>
    <w:p>
      <w:r>
        <w:t>Datasets: (A) Local school dataset: administrative records (enrolment, cohort-standardised English scores, attendance, any local EAL flags, FSM-like SES proxy, SEN codes), classroom observations, and transcribed interviews/focus groups (principal, 3 English teachers, ~20 parents, ~40 students). (B) Policy corpus: school policy documents, national/local policy texts, inspection reports for comparative analysis. (C) Validation sample: manual audit sample n=1000 drawn from comparable regional schools where feasible (stratified by language group, SEN, SES). Baselines: (1) administrative-flag baseline using EAL flag as sole proxy for need; (2) funding-alignment baseline that compares per-pupil funding to raw counts of flagged pupils; (3) analytical baseline without translanguaging metric or without misclassification correction. Operational indices (explicit formulas): Over-Recognition Rate (ORR) = count(EAL_flag=1 AND proficiency &gt;= PT) / count(EAL_flag=1); Under-Recognition Rate (URR) = count(EAL_flag=0 AND proficiency &lt; PT) / count(EAL_flag=0); Classification Misrecognition Index (CMI) = (ORR + URR)/2; Resource-Alignment Ratio (RAR) = Actual_EAL_funding / (standard_rate * count(low_proficiency)); Inspection Bias Score (IBS) = mean(actual_rating - expected_rating_given_controls) within EAL strata; Translanguaging Inclusion Score (TIS) = count(policy_texts_or_transcripts_with_translanguaging_refs) / count(total_texts_or_transcripts). Here PT = cohort-standardised proficiency threshold determined by ROC/Youden analysis. Models and evaluation: (1) Multilevel linear mixed-effects model (random intercepts for school and LA; random slopes for year and EAL share) predicting English progress: progress_ij = β0 + β1*EAL_misalignment_ij + β2*prior_attainment_ij + β3*SES_ij + β4*SEN_ij + u_school + v_LA + ε_ij. Report β1 estimate, 95% CI, p-value. (2) Latent-class measurement model to estimate true proficiency state and propagate misclassification into downstream models via multiple imputation draws (Monte Carlo draws &gt;= 2000). (3) ROC analysis to choose PT (report AUC and selected threshold). (4) NLP annotation and classification: annotate 3,000–5,000 segments stratified by language/ethnicity/school type; report Krippendorff's alpha and target α≥0.80. (5) Quasi-experimental checks: where a discrete policy change exists, implement difference-in-differences (DiD) with matched controls and pre-trend tests; report DiD estimate, SE, and placebo tests. Evaluation metrics: ORR, URR, CMI, RAR numeric values; model effect sizes (standardized β), AUC, RMSE of progress predictions, Krippendorff's α, subgroup sensitivity/specificity parity ratios, and p-values with multiple-testing adjustments. Ablations: (i) remove latent-class misclassification correction, (ii) remove TIS from models, (iii) replace multilevel model with OLS; compare coefficient shifts and metric degradation. Experimental setup: preregister all thresholds, indices and analysis scripts; containerize pipelines; run stratified 10-fold cross-validation for NLP classifiers; run Monte Carlo uncertainty propagation with ≥2000 draws; report all code and synthetic examples in archived preregistration.</w:t>
      </w:r>
    </w:p>
    <w:p>
      <w:r>
        <w:t xml:space="preserve"> </w:t>
      </w:r>
    </w:p>
    <w:p>
      <w:pPr>
        <w:pStyle w:val="Heading2"/>
      </w:pPr>
      <w:r>
        <w:t>Risk Factors And Limitations</w:t>
      </w:r>
    </w:p>
    <w:p>
      <w:r>
        <w:t>1) Generalisability: single-school fieldwork limits external validity; findings may not scale to other regions. 2) Data quality: administrative records may lack consistent EAL flags or standardised English scores, producing measurement error. 3) Power for subgroups: audit sample and local N may be insufficient for fine-grained language/ethnic/SEN subgroup inference. 4) Causal identification: absent or weak discrete policy changes in the study context can limit credible causal claims from DiD or RDD designs. 5) Annotation bias: human coders may introduce subjective bias in translanguaging coding; inter-annotator reliability may be hard to reach. 6) Ethical and access constraints: consent, anonymisation and data-sharing limits (TRE/DSA) may restrict which outputs can be shared. 7) Computational limits: Monte Carlo propagation and Bayesian latent-class models require moderate compute; large simulation draws increase run time. 8) Evaluation bias: inspection rating expectations (expected_rating) rely on model assumptions; mis-specification can bias IBS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