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social_cohesion_africa_index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Developing and validating a household- and expert-data social cohesion index for Africa using item response theory and measurement invariance tests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calibrated social cohesion index estimated from Afrobarometer household items and V-Dem expert indicators using a Graded Response Model will predict lower local conflict incidence (measured by ACLED) over the following two years.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measure social cohesion unevenly: many surveys use single-item trust questions or separate indices for institutions, identity, or cooperation. Expert-data products (e.g., expert-coded institutional indicators) capture macro legitimacy but miss everyday interactions. Multi-item household modules exist (e.g., reciprocity and collective-action batteries) but often lack cross-language calibration and formal IRT-based scoring. Prior composite indices typically use ad-hoc weighting or principal components without pre-specified invariance rules, producing scores that are not clearly comparable across languages, modes, or subgroups. Cross-cultural measurement work highlights frequent non-invariance of attitudinal items, yet few operational projects combine household and expert sources or pre-specify DIF/invariance pipelines for multi-language African pilots. Spatial linking of cohesion measures to event data is underused or hampered by privacy masking that reduces spatial precision.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the problem of measuring social cohesion in African contexts with a narrow, operationalizable definition: inclusive identity, trust, and cooperation along horizontal and vertical axes. We propose to build and validate a multi-source index by combining household responses (Afrobarometer) and expert indicators (V-Dem) and by calibrating items with item response theory. The main contributions are (1) a pre-specified measurement pipeline using the Graded Response Model (an IRT model for ordered responses) and DIF/invariance tests to ensure comparability across languages, modes, and subgroups; (2) a decision tree for index construction (equal-weight, CFA-weighted, and IRT-weighted alternatives) and invariance contingencies; and (3) empirical validation linking index scores to future local conflict events and service-access outcomes. Expected outcomes are a psychometrically defensible cohesion index with clear scoring rules, documented invariance diagnostics, and evidence of predictive validity for policy-relevant outcomes.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pooled Afrobarometer household surveys (all available rounds for pilot countries), V-Dem expert indicators for matching years, ACLED conflict-event data for predictive outcomes, and administrative service-use records where available. Baselines: (A) single-item generalized trust, (B) equal-weight domain average (five domains), (C) PCA-based composite, (D) V-Dem institutional index alone. Primary modelling pipeline: 1) Fit Graded Response Model (GRM) to household items (GRM = IRT model for ordered responses); estimate item slopes and thresholds. 2) Compute three index scores: equal-weight domain average, CFA factor-score weighted index (confirmatory factor analysis), and IRT EAP scores (expected a posteriori from GRM). 3) Test measurement invariance across language, urban/rural, and gender subgroups: configural, metric, scalar using multi-group CFA (report ΔCFI and ΔRMSEA). 4) Detect DIF with IRT-Likelihood-Ratio tests (uniform and non-uniform) and MIMIC models; apply Benjamini–Hochberg FDR control. 5) Compare anchor-based linking versus alignment optimization for multi-language linking. 6) Mode experiment: randomly assign subsample to pictorial/oral versus text modes and run DIF tests to assess mode equivalence. 7) Predictive validity: use indices computed on baseline to predict ACLED event counts in matched clusters over 12–24 months using negative binomial regression and report incidence rate ratios; report AUC for binary conflict onset and RMSE for continuous service-use outcomes. 8) Ablations: remove each domain (relational, identity, institutional, distributive, resilience) one at a time to estimate loss in predictive power and change in internal reliability (omega). 9) Calibration and sensitivity: run complex-survey aware estimation (survey weights, clustering, stratification) and repeat IRT/CFA under design-based variance estimation. Software: R with packages mirt (IRT), lavaan.survey (survey CFA), sirt, and standard regression packages. Sample allocation: per-site baseline n=600 (target), subgroup minima 300 for key groups; mode randomization n≥400 pooled for mode test. Report all seeds and code for reproducibility.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Measurement non-invariance: items may not behave the same across languages or cultures, limiting mean comparisons. Mode effects: pictorial/oral variants may produce systematic DIF. Small subgroup sizes: power to detect small DIF or achieve scalar invariance may be insufficient for rare minorities. Social desirability and sensitive topics: respondents may underreport exclusion or discrimination. Geomasking trade-off: privacy masking reduces spatial precision and weakens links to local events. Administrative data quality: service records may be incomplete or biased. Attrition in panels: loss to follow-up can bias predictive tests. Complex-survey estimation: some IRT tools lack full design-based variance support, complicating SEs. Computational limits: alignment or Bayesian DIF on many groups may be slow or unstable. Generalization: validated indices in pilot countries may not transfer to all African contexts without re-calibration.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