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effort_resistance_evc_ddm</w:t>
      </w:r>
    </w:p>
    <w:p>
      <w:r>
        <w:t xml:space="preserve"> </w:t>
      </w:r>
    </w:p>
    <w:p>
      <w:pPr>
        <w:pStyle w:val="Heading2"/>
      </w:pPr>
      <w:r>
        <w:t>Title</w:t>
      </w:r>
    </w:p>
    <w:p>
      <w:r>
        <w:t>Model-based multimodal test of when the subjective experience of effort arises using a hybrid expected-value-of-control and drift-diffusion framework</w:t>
      </w:r>
    </w:p>
    <w:p>
      <w:r>
        <w:t xml:space="preserve"> </w:t>
      </w:r>
    </w:p>
    <w:p>
      <w:pPr>
        <w:pStyle w:val="Heading2"/>
      </w:pPr>
      <w:r>
        <w:t>Short Hypothesis</w:t>
      </w:r>
    </w:p>
    <w:p>
      <w:r>
        <w:t>Strengthening affective behavior-guiding signals (for example, increased temptation, hunger, pain, or fatigue) causes increases in subjective effort reports via an increase in the model-derived anticipated_cost parameter, and this effect is mediated by increases in midfrontal EEG theta power and pupil dilation.</w:t>
      </w:r>
    </w:p>
    <w:p>
      <w:r>
        <w:t xml:space="preserve"> </w:t>
      </w:r>
    </w:p>
    <w:p>
      <w:pPr>
        <w:pStyle w:val="Heading2"/>
      </w:pPr>
      <w:r>
        <w:t>Related Work</w:t>
      </w:r>
    </w:p>
    <w:p>
      <w:r>
        <w:t>Existing work explains effort in two broad ways: (1) cost or opportunity-cost accounts that treat effort as a penalty or limited resource weighed against reward, and (2) control/value accounts (such as Expected Value of Control, EVC) that frame effort in terms of control allocation. Decision models like the Drift Diffusion Model (DDM) have been used to map value to choice and reaction time. Separately, midfrontal EEG theta and pupil dilation have been linked to cognitive control and arousal. Limitations of current approaches include: treating mental and physical effort separately rather than as a unified resistance process; weak integration across modalities (EEG, pupil, fMRI, EMG, EMA); lack of preregistered hierarchical generative models that recover latent subjective effort; failure to fully address reward–effort collinearity that undermines identifiability; and sparse, practical protocols for LC (locus coeruleus) localization or pharm/TMS causal tests. These gaps limit mechanistic tests of when and why effort is experienced.</w:t>
      </w:r>
    </w:p>
    <w:p>
      <w:r>
        <w:t xml:space="preserve"> </w:t>
      </w:r>
    </w:p>
    <w:p>
      <w:pPr>
        <w:pStyle w:val="Heading2"/>
      </w:pPr>
      <w:r>
        <w:t>Abstract</w:t>
      </w:r>
    </w:p>
    <w:p>
      <w:r>
        <w:t>When do people experience effort? We test a unified hypothesis that the conscious feeling of effort arises when agents resist affective, behavior-guiding signals (for example, temptation, hunger, pain, or fatigue). We combine a hybrid Expected Value of Control (EVC) model with a Drift Diffusion Model (DDM) to generate trial-wise latent anticipated_cost and net_utility signals; the EVC component computes expected control value minus anticipated cost, and the DDM maps those values to choices and reaction times (RTs). A hierarchical Bayesian joint model will link a latent trial-wise subjective_effort variable to EEG midfrontal theta, pupil dilation, fMRI BOLD in predefined ROIs, EMG/force, and ecological momentary assessments (EMA). Main contribution: a preregistered, recoverable latent measure of subjective effort and a multimodal signature that tests a resistance-to-affective-signals account versus standard cost-based accounts. Expected outcome: robust parameter recovery in simulation, superior out-of-sample prediction of choices/RTs, and consistent neural and autonomic correlates that enable targeted causal perturbations.</w:t>
      </w:r>
    </w:p>
    <w:p>
      <w:r>
        <w:t xml:space="preserve"> </w:t>
      </w:r>
    </w:p>
    <w:p>
      <w:pPr>
        <w:pStyle w:val="Heading2"/>
      </w:pPr>
      <w:r>
        <w:t>Experiments</w:t>
      </w:r>
    </w:p>
    <w:p>
      <w:r>
        <w:t>Datasets: 1) Simulated hierarchical datasets: 1,000 replications per condition for N = 30, 40, 50, with subject-level parameters drawn from the declared priors. 2) Pilot empirical dataset: N = 8 participants, 200 trials each, full pipeline QA. 3) Main behavior-only dataset: N = 40, 200 trials/subject. 4) EEG+pupil dataset: N = 40, 200 trials/subject, pupil sampled &gt;= 250 Hz, EEG 500–1000 Hz. 5) Full multimodal fMRI+EEG+pupil+EMG dataset: N = 50 (target) with ~200 trials/subject; consider N = 60 if individual precision required. Optional pharm sub-study: crossover N = 30 (methylphenidate 20 mg vs placebo). Baselines: (A) cost-based utility model with effort as penalty, (B) choice-only softmax on utility, (C) DDM without EVC mapping, (D) single-modality regressions (EEG-only, pupil-only). Evaluation metrics: parameter recovery Pearson r (group target r &gt;= 0.85; individual r &gt;= 0.65), median absolute percentage error &lt; 20%, choice AUC/accuracy, RT RMSE, LOO-ELPD differences for model comparison (ΔELPD &gt; 10 decisive), out-of-sample R^2 for latent z_t predicting held-out modality data, EEG single-trial regression t-values, cluster-corrected fMRI parametric effect sizes in dACC and anterior insula. Experimental setup: hierarchical Bayesian MCMC (4 chains, 2,000 warmup + 2,000 posterior draws) implemented in PyMC4 or equivalent; pre-register priors, bounds, and hyperpriors; preprocess fMRI using fMRIPrep, EEG with AAS+OBS+ICA (ICLabel), pupil blink interpolation + deconvolution; EMG/force filtered and rectified. Comparisons/ablations: 1) Joint hierarchical latent model vs each baseline model. 2) Ablation: remove EEG, remove pupil, remove fMRI in turn from joint model and compare ΔELPD and out-of-sample R^2. 3) Design ablation: datasets with reward–effort covariance levels 0.0, 0.3, 0.6, 0.9 to test identifiability. 4) Pharmacology test: compare parameter shifts (cost_weight, control_efficacy) under methylphenidate vs placebo using within-subject contrasts and Bayesian hierarchical inference. Decision rules: if simulation recovery criteria not met for target N and trial counts, escalate N by pre-specified increments (+10 per iteration) until recovery targets satisfied.</w:t>
      </w:r>
    </w:p>
    <w:p>
      <w:r>
        <w:t xml:space="preserve"> </w:t>
      </w:r>
    </w:p>
    <w:p>
      <w:pPr>
        <w:pStyle w:val="Heading2"/>
      </w:pPr>
      <w:r>
        <w:t>Risk Factors And Limitations</w:t>
      </w:r>
    </w:p>
    <w:p>
      <w:r>
        <w:t>Technical failure modes: low signal-to-noise ratio (SNR) in EEG, pupil, or LC-sensitive MRI can prevent recovery of latent effort; strong reward–effort collinearity can make parameters unidentifiable. Data/evaluation biases: EMA self-report scaling differences with lab measures; selection bias if participants unwilling to tolerate pharmacology or long sessions. Compute and scalability: hierarchical MCMC for thousands of simulated datasets and multimodal fits requires substantial CPU/GPU resources (200–500 core-hours) and storage (multiple TB). Measurement limits: temporal mismatch between modalities (EEG ms scale, fMRI seconds) can complicate fusion; HRF model misspecification affects latent→BOLD mapping. Causal tests: pharm/TMS effects may be small or variable across individuals and raise safety/ethics constraints limiting sample size. Generalization limits: findings may not generalize beyond tested affective signals, task contexts, or clinical populations. Reproducibility constraints: complex pipelines increase risk of versioning or preprocessing differences; public release timelines must respect privacy and IRB redaction rules.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