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history_therapy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History Therapy: an interdisciplinary intervention using structured exposure to curated historical worldviews and guided reflective tasks to improve meaning-making and psychological well-being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Participants who receive structured History Therapy (curated historical worldviews plus guided reflective and co-authoring tasks) will show greater increases in presence-of-meaning (MLQ-P) at post-treatment than participants receiving dose-matched structured supportive psychoeducation.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relevant to this idea include narrative therapy and life-review methods that use personal stories to promote meaning; bibliotherapy and bibliocuration that use texts to provoke reflection; reminiscence and guided autobiography for older adults; and narrative-coherence measurement frameworks that rate story structure (context, chronology, theme). Strengths of prior methods are demonstrated links between story-based interventions and wellbeing, and existing coding schemes for narrative structure. Limitations across these areas are: (1) few interventions systematically use alternative historical worldviews (archival or public-history materials) as a therapeutic exposure; (2) archival or historian-led co-research tasks are not standardized or trialed for reproducibility; (3) measures of narrative change often lack fully preregistered psychometric pipelines and cross-cultural validation; (4) safety, legal, and data-sovereignty challenges for archival content are underaddressed in clinical trials; (5) few trials combine rigorous MCID (minimal clinically important difference) procedures with narrative process measures. These gaps limit claims about causality, scalability, and cultural fit.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Problem: Many people seeking deeper self-knowledge and meaning lack structured methods that introduce alternative historical perspectives to catalyze identity reflection. Approach: We propose History Therapy, an interdisciplinary method that pairs curated historical worldviews and case materials with guided reflective tasks and therapist-supported archival co-research to prompt meaning-making. Main contribution: We formalize a replicable intervention protocol, a preregistered measurement plan centering the Meaning in Life Questionnaire—Presence (MLQ-P) as the primary outcome, and a narrative-coherence psychometric pipeline to measure process change. We specify an active, dose-matched control (Structured Supportive Psychoeducation), an anchor-based MCID derivation using Patient Global Impression of Change (PGIC), and multilevel mediation tests to assess whether narrative coherence mediates MLQ-P change. Expected outcome: If effective, History Therapy will produce larger, clinically meaningful increases in perceived meaning than control, and will establish measurable narrative-change mechanisms to guide scaling and culturally safe archival practices.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Participants and design: Two-stage plan. Pilot randomized trial: N=40 adults (20 History Therapy, 20 active control). Definitive randomized trial: N=300 adults (150 per arm). Randomization: individual-level, 1:1, blocked and stratified by site and baseline MLQ-P tertile. Blinding: outcome assessors blinded; therapists unblinded. Intervention arms: (A) History Therapy (8 sessions): curated historical worldview packets, guided reflection prompts, archival co-research tasks, homework journaling. (B) Structured Supportive Psychoeducation (8 sessions): dose-matched life-skills and non-archival supportive discussion. Ablation study: within pilot, include a 3rd arm N≈10 receiving History Therapy without archival co-research (materials only) to test the co-research contribution. Datasets and materials: participant questionnaires, session transcripts, participant reflective journals, curated archival packets representing diverse worldviews, therapist fidelity checklists. Baselines: pre-intervention MLQ-P, PHQ-9 (depression), GAD-7 (anxiety), demographic and cultural identity survey. Primary outcome: MLQ-P (Presence subscale) at post-treatment. Secondary outcomes: PGIC, PHQ-9, GAD-7, narrative-coherence factor score, therapeutic alliance. Process measures: archival-engagement index (time-on-task, depth score), rater-coded narrative coherence (context, chronology, theme). Evaluation metrics: between-arm difference in MLQ-P change (mean difference, 95% CI), proportion achieving MCID (anchor-based), mixed-effects model p-values and effect sizes (Cohen's d), mediation effect size (indirect effect estimate with bootstrap 95% CI), inter-rater reliability (ICC(2,k)) for narrative coding, AUC for ROC in MCID derivation. Analysis details: primary analysis by intention-to-treat using linear mixed-effects models with random intercepts for participant and therapist, baseline MLQ-P as covariate, robust SEs clustered by therapist; MCID derived in pilot by ROC mapping PGIC≥5 to MLQ-P change with bootstrap CIs; mediation tested by multilevel longitudinal mediation with mediator measured mid-treatment and outcome post-treatment, bootstrap SEs. Comparison and ablation: compare full History Therapy vs control, full vs no-co-research ablation, and test sensitivity using distribution-based MCID (0.5 SD). Power: definitive trial powered to detect d=0.35 at 80% with adjustment for therapist ICC scenarios reported in preregistered scripts.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Ethical and legal risk: archival materials may contain sensitive third-party information, creating legal limits on deletion and requiring MOUs; discovery of actionable or trauma-inducing information can cause acute participant distress. Measurement risk: MLQ-P change may be small or noisy; MCID estimates from pilot may be unstable. Psychometrics risk: narrative-coherence coding may show low inter-rater reliability or fail measurement invariance across cultural groups. Contamination and clustering: therapist effects and cross-arm contamination could bias estimates if not properly modeled. Generalization limits: curated historical packages may not generalize across cultures, ages, or literacy levels. Privacy and re-identification: narrative texts increase re-identification risk; automated deidentification tools can have false negatives (missed identifiers) and false positives (over-redaction). Operational limits: building secure dynamic-consent and archival integration platforms requires time and budget; small pilot sizes limit precision for mediation estimates. Scalability: therapist training intensity and archival access costs may constrain large-scale deployment. Technical failure modes: NLP deidentification errors, transcription inaccuracies, and loss of archival access can disrupt data pipelines.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