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pygmalion_ai_narrative_policy</w:t>
      </w:r>
    </w:p>
    <w:p>
      <w:r>
        <w:t xml:space="preserve"> </w:t>
      </w:r>
    </w:p>
    <w:p>
      <w:pPr>
        <w:pStyle w:val="Heading2"/>
      </w:pPr>
      <w:r>
        <w:t>Title</w:t>
      </w:r>
    </w:p>
    <w:p>
      <w:r>
        <w:t>Measuring causal effects of cultural narratives and regulatory policies on AI development and public perception using cluster-randomized priming, ML behavioral probes, and agent-based modeling</w:t>
      </w:r>
    </w:p>
    <w:p>
      <w:r>
        <w:t xml:space="preserve"> </w:t>
      </w:r>
    </w:p>
    <w:p>
      <w:pPr>
        <w:pStyle w:val="Heading2"/>
      </w:pPr>
      <w:r>
        <w:t>Short Hypothesis</w:t>
      </w:r>
    </w:p>
    <w:p>
      <w:r>
        <w:t>Exposure of AI developers to guardian-framed cultural narratives causes an increase in safety-oriented development actions (e.g., running safety tests, enabling interpretability modules, delaying deployment) relative to no-prime controls.</w:t>
      </w:r>
    </w:p>
    <w:p>
      <w:r>
        <w:t xml:space="preserve"> </w:t>
      </w:r>
    </w:p>
    <w:p>
      <w:pPr>
        <w:pStyle w:val="Heading2"/>
      </w:pPr>
      <w:r>
        <w:t>Related Work</w:t>
      </w:r>
    </w:p>
    <w:p>
      <w:r>
        <w:t>Prior work spans three streams: (1) social-psychology studies of expectation effects (Pygmalion and Golem) showing that communicated expectations can change behavior; (2) narrative-framing and media-studies work that documents how film and journalism shape public attitudes toward technology; and (3) computational work using priming, ML probes, and agent-based models (ABMs) to study diffusion of ideas and model behaviour. Limitations in existing approaches include weak causal identification across organizational settings (few cluster-randomized or instrumented designs), narrow scope of ML probes that are not linked to developer actions, sparse cross-lingual or cultural validation of narrative coding, inadequate provenance and logging for developer decisions, and ABMs that are rarely calibrated to real developer logs or policy shock data. These gaps leave unresolved whether and how narrative exposure causally alters concrete engineering choices and downstream system behavior.</w:t>
      </w:r>
    </w:p>
    <w:p>
      <w:r>
        <w:t xml:space="preserve"> </w:t>
      </w:r>
    </w:p>
    <w:p>
      <w:pPr>
        <w:pStyle w:val="Heading2"/>
      </w:pPr>
      <w:r>
        <w:t>Abstract</w:t>
      </w:r>
    </w:p>
    <w:p>
      <w:r>
        <w:t>This study tests whether and how cultural narratives and regulatory policies shape AI development and public perception. We combine cluster-randomized priming experiments with developers, cross-lingual narrative annotation of film and media, ML behavioral probes of model outputs, and agent-based modeling (ABM) calibrated to developer logs and policy timelines. Core contributions are: a preregistered logging schema for developer actions, a cross-cultural narrative codebook with reliability targets, causal estimates from team- and organization-level randomization, and ABMs that translate narrative prevalence into population-level shifts in safety vs performance trade-offs. Expected outcomes are quantifiable causal effect sizes for specific narrative frames on engineering behavior, validated ML-probe measures of model-level narrative influence, and calibrated ABMs that identify leverage points where policy or communication interventions change AI trajectories. Results will inform governance by showing which narratives and policy changes have measurable impacts on technical practices and public attitudes.</w:t>
      </w:r>
    </w:p>
    <w:p>
      <w:r>
        <w:t xml:space="preserve"> </w:t>
      </w:r>
    </w:p>
    <w:p>
      <w:pPr>
        <w:pStyle w:val="Heading2"/>
      </w:pPr>
      <w:r>
        <w:t>Experiments</w:t>
      </w:r>
    </w:p>
    <w:p>
      <w:r>
        <w:t>Datasets: (1) Developer action logs collected from consenting teams on Git metadata (commits, PRs, file paths, timestamps) and recorded evaluation/deployment events; (2) media corpus of film scripts, reviews, and news articles in English, Spanish, Mandarin (pilot languages) with provenance metadata; (3) multilingual annotated narrative dataset (pilot n=500-1,000 items/language); (4) ML-probe prompt sets generated per narrative frame (target 5,000 prompts/frame); (5) policy timeline dataset of regulatory events and procurement records. Baselines: no-prime control, neutral-prime control, single-frame primes (guardian, threat, tool), and architecture-size controls (small/medium/large models). Experimental design: cluster-RCT at team level for developer priming with target sample ≈200 developers across ≈40 teams (avg cluster size≈5); organization-level quasi-experiments using policy shocks where randomized assignment infeasible. Annotation: double-annotation pilot with Krippendorff’s alpha target ≥0.7; use adjudication rubrics. ML probes: measure sentiment/tone, risk-calibration (correlation between model confidence and accuracy), deontic/modal verb frequency (counts of should/must), refusal rate (rate model declines a risky request), factuality, toxicity, and fairness metrics (demographic parity difference, equalized odds gap). Analysis: primary estimator = mixed-effects regression with cluster-robust standard errors reporting ITT and CACE where relevant; report Cohen’s d, ICC, bootstrap CIs, and Benjamini–Hochberg corrections. ABM calibration: use ABC-SMC combined with simulated method of moments; summary statistics = team-level safety-test frequency, dataset diversity index, rollback rate, narrative frame proportions and diffusion slopes; distance metric = weighted Euclidean distance on standardized moments. Comparisons/ablations: (A) prime vs no-prime; (B) guardian vs threat frames; (C) ML-probe conditioned on narrative metadata vs unconditioned; (D) ABM calibrated to full logs vs ABM calibrated to aggregate-only data; report effect sizes and holdout predictive RMSE for ABM.</w:t>
      </w:r>
    </w:p>
    <w:p>
      <w:r>
        <w:t xml:space="preserve"> </w:t>
      </w:r>
    </w:p>
    <w:p>
      <w:pPr>
        <w:pStyle w:val="Heading2"/>
      </w:pPr>
      <w:r>
        <w:t>Risk Factors And Limitations</w:t>
      </w:r>
    </w:p>
    <w:p>
      <w:r>
        <w:t>Selection bias: consenting teams may differ from general developer populations, limiting external validity. Spillovers and partial interference: primes may cross team boundaries and bias estimates. Compliance: developers may opt out or change behavior because of monitoring (chilling). Annotation limits: cross-lingual metaphor non-equivalence and coder drift may reduce reliability. Measurement limits: developer logs may incompletely capture safety reasoning or informal discussions. DP and privacy: differential privacy or strong aggregation will reduce release utility; specific ε,δ choices trade utility vs privacy. Compute and scaling: ABC-SMC and ABM calibration are compute intensive and require many cores and long runtimes, limiting iterative tuning. Generalization: effects observed in sampled languages, industries, or organization sizes may not hold elsewhere. Legal and procurement constraints: data access and retention rules may restrict needed provenance fields. No mitigation strategies are included.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