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llm_mh_diag_treatment_survey</w:t>
      </w:r>
    </w:p>
    <w:p>
      <w:r>
        <w:t xml:space="preserve"> </w:t>
      </w:r>
    </w:p>
    <w:p>
      <w:pPr>
        <w:pStyle w:val="Heading2"/>
      </w:pPr>
      <w:r>
        <w:t>Title</w:t>
      </w:r>
    </w:p>
    <w:p>
      <w:r>
        <w:t>Systematic evaluation of large language models for automated mental health diagnosis and treatment decision support</w:t>
      </w:r>
    </w:p>
    <w:p>
      <w:r>
        <w:t xml:space="preserve"> </w:t>
      </w:r>
    </w:p>
    <w:p>
      <w:pPr>
        <w:pStyle w:val="Heading2"/>
      </w:pPr>
      <w:r>
        <w:t>Short Hypothesis</w:t>
      </w:r>
    </w:p>
    <w:p>
      <w:r>
        <w:t>Adding clinician-annotated structured clinical assessments and modality tags to fine-tuned large language models causes higher screening sensitivity than models trained on raw transcripts alone.</w:t>
      </w:r>
    </w:p>
    <w:p>
      <w:r>
        <w:t xml:space="preserve"> </w:t>
      </w:r>
    </w:p>
    <w:p>
      <w:pPr>
        <w:pStyle w:val="Heading2"/>
      </w:pPr>
      <w:r>
        <w:t>Related Work</w:t>
      </w:r>
    </w:p>
    <w:p>
      <w:r>
        <w:t>Prior approaches to automated mental health screening and support fall into several categories: (1) rule-based and lexicon methods that detect keywords or sentiment but miss context and nuance; (2) classical machine learning on text (logistic regression, SVM) using bag-of-words or simple embeddings which have limited ability to model long clinical narratives; (3) neural methods and transformer encoders (e.g., BERT variants) fine-tuned on clinical notes or social media for symptom classification; and (4) conversational agents and therapeutic chatbots built on sequence models or proprietary LLMs that offer dialogue but lack clinical validation. Common limitations across these lines are small or convenience datasets lacking gold-standard structured interviews, weak external validation across sites and languages, poor calibration of output probabilities, limited subgroup and fairness evaluation, minimal adversarial or privacy testing, and sparse clinician-in-the-loop trials. Work that reports high performance often omits deployment constraints such as latency, provenance, or legal/regulatory readiness.</w:t>
      </w:r>
    </w:p>
    <w:p>
      <w:r>
        <w:t xml:space="preserve"> </w:t>
      </w:r>
    </w:p>
    <w:p>
      <w:pPr>
        <w:pStyle w:val="Heading2"/>
      </w:pPr>
      <w:r>
        <w:t>Abstract</w:t>
      </w:r>
    </w:p>
    <w:p>
      <w:r>
        <w:t>We address the need for reproducible, clinically grounded evaluation of large language models (LLMs) applied to mental health diagnosis and treatment decision support. We propose a systematic evaluation framework that compares LLM variants trained with and without clinician-annotated structured assessments and modality tags (text, audio, sensor). The main contribution is a reproducible suite of datasets, evaluation metrics, and experimental protocols that measure screening sensitivity, crisis detection performance, calibration, fairness across demographic subgroups, privacy leakage, and adversarial robustness. Expected outcomes are: (1) quantification of the performance gain from integrating structured clinical inputs; (2) documented trade-offs between privacy mechanisms and clinical utility; and (3) standardized thresholds and artifacts (schemas, simulation seeds, test corpora) to guide safe clinician-in-the-loop deployment. Results will clarify where LLMs meet clinically grounded thresholds and where further data, safety testing, or governance are required before real-world use.</w:t>
      </w:r>
    </w:p>
    <w:p>
      <w:r>
        <w:t xml:space="preserve"> </w:t>
      </w:r>
    </w:p>
    <w:p>
      <w:pPr>
        <w:pStyle w:val="Heading2"/>
      </w:pPr>
      <w:r>
        <w:t>Experiments</w:t>
      </w:r>
    </w:p>
    <w:p>
      <w:r>
        <w:t>Datasets: multi-site corpus containing clinician-administered SCID/MINI labels, PHQ-9/GAD-7 scores, de-identified encounter transcripts (text), optional audio waveforms, demographics (age, sex/gender, race/ethnicity, language, SES), medications, and timestamps; target sizes: primary validation N≈3,000 (expected prevalence 5%) and pooled crisis dataset with ≥300 positive crisis events; synthetic generator with documented seeds for large-scale simulation (≥1,000,000 encounter-equivalents). Baselines: (A) logistic regression with TF-IDF bag-of-words; (B) clinical BERT fine-tuned on transcripts; (C) off-the-shelf LLM zero-shot; (D) LLM fine-tuned on transcripts only; (E) LLM fine-tuned on transcripts plus structured clinician assessments and modality tags (proposed). Evaluation metrics: sensitivity, specificity, NPV, PPV, AUROC, Brier score, ECE (expected calibration error), calibration slope, per-message latency (seconds), subgroup sensitivity gaps, attack success rate (for adversarial tests), and privacy leakage risk estimates. Experimental setup: stratified cross-site train/validation/test splits with held-out sites for external validation; compute 95% confidence intervals via bootstrap (1,000 resamples) and report sample-size–based CI widths using n_pos = Z^2 p (1-p) / d^2. Comparisons/ablations: (1) ablate structured assessments (compare D vs E) to test the hypothesis; (2) ablate modality tags (E minus modality inputs); (3) evaluate DP noise injection levels (ε values) and report utility loss; (4) centralized vs federated training comparison with identical held-out tests. Adversarial tests: prompt-injection, noisy transcripts, and targeted perturbations; report Δsensitivity and attack success rate. Reproducibility: publish seeds, synthetic-data generator code, model configs, and evaluation scripts.</w:t>
      </w:r>
    </w:p>
    <w:p>
      <w:r>
        <w:t xml:space="preserve"> </w:t>
      </w:r>
    </w:p>
    <w:p>
      <w:pPr>
        <w:pStyle w:val="Heading2"/>
      </w:pPr>
      <w:r>
        <w:t>Risk Factors And Limitations</w:t>
      </w:r>
    </w:p>
    <w:p>
      <w:r>
        <w:t>Technical failure modes: model hallucination (made-up or incorrect clinical assertions), poor calibration of probability outputs, and degraded performance under noisy or out-of-distribution language (dialects, code-switching). Data and evaluation biases: limited site diversity, label noise in clinician annotations, underrepresentation of languages and demographics, and ecological mismatch between recorded encounters and real telehealth conversations. Privacy and safety risks: membership leakage, reconstruction attacks, and degraded utility under strong differential privacy noise. Scalability and compute: large LLM fine-tuning and federated rounds require substantial GPU hours and network bandwidth, limiting participation by low-resource sites. Adversarial vulnerability: targeted prompts or poisoning can cause missed-crisis or unsafe recommendations. Generalization limits: results may not transfer to low-resource languages, nonclinical conversational settings, or cultural contexts without local annotation. Legal and regulatory constraints: differing jurisdictional rules may restrict data sharing and delay deployment. Evaluation limits: synthetic simulations may not fully capture clinician workflow or patient behavior.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