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german_minority_archive_affect_impact</w:t>
      </w:r>
    </w:p>
    <w:p>
      <w:r>
        <w:t xml:space="preserve"> </w:t>
      </w:r>
    </w:p>
    <w:p>
      <w:pPr>
        <w:pStyle w:val="Heading2"/>
      </w:pPr>
      <w:r>
        <w:t>Title</w:t>
      </w:r>
    </w:p>
    <w:p>
      <w:r>
        <w:t>Mixed-method evaluation of affective, social, and personal impacts of a German minority community archive using psychometrics, ethnography, and computational tagging</w:t>
      </w:r>
    </w:p>
    <w:p>
      <w:r>
        <w:t xml:space="preserve"> </w:t>
      </w:r>
    </w:p>
    <w:p>
      <w:pPr>
        <w:pStyle w:val="Heading2"/>
      </w:pPr>
      <w:r>
        <w:t>Short Hypothesis</w:t>
      </w:r>
    </w:p>
    <w:p>
      <w:r>
        <w:t>Participation in archive-related activities (donation, storytelling, or workshop) causes a ≥5-point increase on the Belonging index (0–100) within three months compared to participants' baseline scores.</w:t>
      </w:r>
    </w:p>
    <w:p>
      <w:r>
        <w:t xml:space="preserve"> </w:t>
      </w:r>
    </w:p>
    <w:p>
      <w:pPr>
        <w:pStyle w:val="Heading2"/>
      </w:pPr>
      <w:r>
        <w:t>Related Work</w:t>
      </w:r>
    </w:p>
    <w:p>
      <w:r>
        <w:t>Existing research covers (1) community and independent archives studying identity and memory, (2) affect measurement using general scales such as PANAS (a brief mood inventory), (3) oral-history ethnography documenting personal narratives, and (4) computational tagging and ASR (automatic speech recognition) for archival materials. Limitations across these areas include small or convenience samples that reduce generalizability, scarce validated affect measures tailored to minority-language or dialect contexts, weak integration between qualitative narratives and quantitative affect scales, low ASR and NLP performance on regional dialects, and incomplete metadata standards for affective and provenance fields. Legal and ethical work often remains separate from operational archival pipelines, producing gaps in item-level consent enforcement. Prior computational models also exhibit subgroup performance gaps (bias) and rarely incorporate human-in-the-loop governance required by community advisory boards.</w:t>
      </w:r>
    </w:p>
    <w:p>
      <w:r>
        <w:t xml:space="preserve"> </w:t>
      </w:r>
    </w:p>
    <w:p>
      <w:pPr>
        <w:pStyle w:val="Heading2"/>
      </w:pPr>
      <w:r>
        <w:t>Abstract</w:t>
      </w:r>
    </w:p>
    <w:p>
      <w:r>
        <w:t>This project evaluates how engagement with an independent German minority community archive affects contributors' emotions, social ties, and personal meanings. Using a mixed-method design, we combine ethnographic interviews, a bilingual psychometric instrument adapted from PANAS plus eight community-specific affect items, and computational methods (automatic affective tagging and ASR) applied to archive materials. Main contributions are: (1) validation of an affect scale for multilingual, dialectal contexts using EFA/CFA (factor analysis), (2) integrated metadata fields and crosswalks that capture affective provenance, and (3) an evaluation of automatic tagging plus human-in-the-loop workflows against human annotation and community validation. Expected outcomes are a validated measurement instrument, documented trade-offs between automated and manual tagging (accuracy vs. acceptability), and reproducible protocols for ethically governed, affect-aware archival practice that can be reused for minority-language archives.</w:t>
      </w:r>
    </w:p>
    <w:p>
      <w:r>
        <w:t xml:space="preserve"> </w:t>
      </w:r>
    </w:p>
    <w:p>
      <w:pPr>
        <w:pStyle w:val="Heading2"/>
      </w:pPr>
      <w:r>
        <w:t>Experiments</w:t>
      </w:r>
    </w:p>
    <w:p>
      <w:r>
        <w:t>Datasets: August 2024 interview corpus (≈30 oral histories) plus pilot archive collection of 200 items (audio, photos, documents). Survey sample: target N=200 stratified by generation (elders 25%, mid 35%, youth 40%), dialect region (≥3 strata), and donor status (50/50); contingency for Bayesian analyses if N&lt;200. Instruments: adapted PANAS + 8 affect items (20-item pool), participatory indices (Belonging, Intergenerational Dialogue, Trust; range 0–100). Baselines: (A) PANAS-only scale, (B) human-only annotation (expert coders), (C) off-the-shelf multilingual model (XLM-R) without fine-tuning, (D) no-archive control group for pre/post intervention where feasible. Computational models: fine-tuned XLM-R, multilingual BERT, German-BERT (deepset/gbert), and lightweight LSTM baseline; ASR comparisons: pre-trained ASR vs fine-tuned acoustic model on dialect subset vs human transcription. Psychometric pipeline: split-sample EFA (principal axis factoring, oblique rotation; parallel analysis to retain factors) on half sample and CFA on holdout; estimator WLSMV for ordinal items (WLSMV is an estimator suited to ordered responses), MLR for continuous; measurement invariance tests across language/generation with ΔCFI≤0.01 and ΔRMSEA≤0.015. Reliability: item-total correlations&gt;0.30, communalities&gt;0.40, Cronbach's α and McDonald's ω≥0.70. Missing data: multiple imputation for ≤20% missingness. Intervention test: quasi-experimental pre/post with n≈64 per arm to detect d≈0.5 (Cohen's d is standardized effect size); analyze with mixed-effects models including cluster/ICC terms (ICC = intraclass correlation). ML evaluation: 5-fold CV stratified by dialect/generation; metrics: precision, recall, F1, AUC, calibration plots, and subgroup parity metrics (equalized odds and calibration within groups). ASR metrics: WER (word error rate). Human agreement: Krippendorff's α and intercoder Cohen's kappa. Ablation studies: (1) PANAS-only vs PANAS+8 items, (2) XLM-R baseline vs dialect-fine-tuned model, (3) auto-tagging with human-in-the-loop vs auto-only, (4) with vs without affective metadata fields in search/task outcomes. Community validation: ≥3 CAB workshops collecting qualitative acceptability and concordance. Statistical inference: bootstrap CIs (2,000 reps), preregister thresholds, correct for multiple tests (e.g., Benjamini-Hochberg). Reproducibility: provide analysis scripts and containerized environment with simulated-data checks for estimator behavior under expected nonnormality.</w:t>
      </w:r>
    </w:p>
    <w:p>
      <w:r>
        <w:t xml:space="preserve"> </w:t>
      </w:r>
    </w:p>
    <w:p>
      <w:pPr>
        <w:pStyle w:val="Heading2"/>
      </w:pPr>
      <w:r>
        <w:t>Risk Factors And Limitations</w:t>
      </w:r>
    </w:p>
    <w:p>
      <w:r>
        <w:t>Technical failure modes: high ASR WER for regional dialects may make automated transcripts unusable; ML models may underperform on small domain data and overfit. Data and evaluation biases: stratified sample may still under-represent hard-to-reach subgroups; models can show subgroup performance gaps (generation or dialect) leading to unfair outputs. Sample size limits: failure to reach N≈200 reduces CFA power and complicates invariance testing. Legal/consent constraints: item-level withdrawals or restrictive consent may remove key items and bias results; preservation vs erasure tensions may constrain analysis. Measurement limits: adapted affect items may not map cleanly across dialects despite translation efforts, causing differential item functioning (DIF). Scalability and compute: fine-tuning transformer models and maintaining KMS/backups can be costly and slow. Generalization: findings may not generalize beyond this German minority in Silesia to other minorities with different histories or languages. Operational constraints: CAB decisions or long dispute-resolution timelines can delay publication or ML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