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navigating_impact_ivc</w:t>
      </w:r>
    </w:p>
    <w:p>
      <w:r>
        <w:t xml:space="preserve"> </w:t>
      </w:r>
    </w:p>
    <w:p>
      <w:pPr>
        <w:pStyle w:val="Heading2"/>
      </w:pPr>
      <w:r>
        <w:t>Title</w:t>
      </w:r>
    </w:p>
    <w:p>
      <w:r>
        <w:t>Quasi-experimental and randomized evaluation of how impact venture capital concessionality and sourcing practices affect founder access, market entry, and private follow-on investment</w:t>
      </w:r>
    </w:p>
    <w:p>
      <w:r>
        <w:t xml:space="preserve"> </w:t>
      </w:r>
    </w:p>
    <w:p>
      <w:pPr>
        <w:pStyle w:val="Heading2"/>
      </w:pPr>
      <w:r>
        <w:t>Short Hypothesis</w:t>
      </w:r>
    </w:p>
    <w:p>
      <w:r>
        <w:t>Higher fund concessionality (measured by subsidy rate and non-financial concessions) causally increases the probability and amount of private follow-on investment in portfolio firms within two years of initial investment.</w:t>
      </w:r>
    </w:p>
    <w:p>
      <w:r>
        <w:t xml:space="preserve"> </w:t>
      </w:r>
    </w:p>
    <w:p>
      <w:pPr>
        <w:pStyle w:val="Heading2"/>
      </w:pPr>
      <w:r>
        <w:t>Related Work</w:t>
      </w:r>
    </w:p>
    <w:p>
      <w:r>
        <w:t>Existing research on impact investing and blended finance uses descriptive case studies, self-reported fund reports, and a mix of quasi-experimental designs. Common approaches include difference-in-differences (DiD) around policy or fund events, propensity score matching (PSM) to build control groups, synthetic controls for region-level shocks, and randomized outreach experiments for sourcing channels. Measurement work has proposed composite indices for concessionality and data-quality scores but often mixes heterogeneous units without consistent scaling. Weaknesses in prior work include heavy reliance on self-reported IRRs and follow-on claims, limited use of archival administrative documents to justify instruments, few pre-registered estimands handling zeros or mass at zero in follow-on amounts, inadequate MNAR (missing not at random) selection strategies, sparse verification of reported follow-on funding (cap table or payment reconciliation), and limited multi-jurisdictional legal coding tied to empirical tests.</w:t>
      </w:r>
    </w:p>
    <w:p>
      <w:r>
        <w:t xml:space="preserve"> </w:t>
      </w:r>
    </w:p>
    <w:p>
      <w:pPr>
        <w:pStyle w:val="Heading2"/>
      </w:pPr>
      <w:r>
        <w:t>Abstract</w:t>
      </w:r>
    </w:p>
    <w:p>
      <w:r>
        <w:t>This project examines how impact venture capitalists (IVCs) navigate the contested meaning of "impact" and how fund-level concessionality and sourcing tactics affect founder access, market entry, and private follow-on capital. We combine Michel de Certeau–inspired qualitative analysis of everyday tactical practices with pre-registered quantitative tests that use quasi-experimental instruments and randomized outreach. Core empirical methods include instrumental variables (IV) exploiting DFI tranche timing and LP composition, difference-in-differences and synthetic controls for market shocks, and randomized A/B sourcing experiments. We operationalize precise metrics (subsidy rate, NonFinancialConcessionScore, CompositeConcessionIndex, Measurement-Quality Index, capital additionality) with explicit formulas and data sources. The main contribution is a reproducible, multi-method identification strategy that links fund design and tactics to measurable mobilization of private capital and founder outcomes in emerging markets. Expected outcomes are causal estimates of mobilization and a validated measurement toolkit and verification procedures applicable to other impact-finance contexts.</w:t>
      </w:r>
    </w:p>
    <w:p>
      <w:r>
        <w:t xml:space="preserve"> </w:t>
      </w:r>
    </w:p>
    <w:p>
      <w:pPr>
        <w:pStyle w:val="Heading2"/>
      </w:pPr>
      <w:r>
        <w:t>Experiments</w:t>
      </w:r>
    </w:p>
    <w:p>
      <w:r>
        <w:t>Datasets: (1) Fund-level records: term sheets, expected IRR, LP composition, tranche disbursement dates, fund-level TA logs. (2) Portfolio firms: investment dates, cap tables, follow-on rounds, amounts, valuation, founder demographics, revenues. (3) External: DFI administrative calendars, corporate registries, payment-processor or mobile-money transaction aggregates, accelerator application logs, satellite proxies for market activity. (4) Verification subsample: bank/payment reconciliations, cap table audits, investor confirmations for 10–20% stratified sample. Baselines: (a) naive OLS, (b) DiD without IV, (c) propensity score matched DiD, (d) synthetic control for region-level shocks. Primary identification: IV using tranche timing or LP composition (DFI vs commercial) with first-stage F&gt;10. Randomized component: A/B outreach experiments across sourcing channels to measure conversion and founder diversity. Metrics (with brief explanations): follow-on probability (binary: firm gets private follow-on within 24 months), follow-on amount (continuous; use log(1+x) transform), subsidy_rate = (market_IRR - fund_expected_IRR)/market_IRR, NonFinancialConcessionScore (0-1 normalized), CompositeConcessionIndex (pre-specified weighted sum), Measurement-Quality Index (0-100). Evaluation metrics: average treatment effect (ATE) on follow-on probability, IV-LATE for mobilization, change in follow-on amount (bootstrapped CIs), balance metrics (standardized mean differences), first-stage F-stat, falsification p-values for placebo outcomes, and coverage of CIs under weak-IV robust methods (Anderson-Rubin). Experimental setup: pre-register estimands, covariates and models; unit of analysis = firm; cluster standard errors at fund level; include market×time fixed effects, sector, firm age, pre-funding revenue, founder gender, and fund size as covariates. Pre-analysis: test balance (standardized differences and Kolmogorov–Smirnov) and apply multiplicity correction (Benjamini–Hochberg) across outcome families. Robustness and ablations: (1) ablation A: drop NonFinancialConcessionScore from CompositeConcessionIndex to test sensitivity; (2) ablation B: compare IV estimates to DiD and synthetic control estimates; (3) estimator ablation: report Tobit/zero-inflated vs log(1+x) vs bounded ratio for follow-on amounts with many zeros. Pre-specified falsifications: placebo windows before tranche dates, unaffected sectors as negative controls, and inspection of archival documents used to justify exclusion restrictions. Data splits: reserve 30% of verified firms for out-of-sample reconciliation of reported follow-on amounts.</w:t>
      </w:r>
    </w:p>
    <w:p>
      <w:r>
        <w:t xml:space="preserve"> </w:t>
      </w:r>
    </w:p>
    <w:p>
      <w:pPr>
        <w:pStyle w:val="Heading2"/>
      </w:pPr>
      <w:r>
        <w:t>Risk Factors And Limitations</w:t>
      </w:r>
    </w:p>
    <w:p>
      <w:r>
        <w:t>Limited or proprietary access to fund expected-IRR and tranche administrative records may prevent credible IV construction. Reported follow-on amounts may be biased by self-reporting and survivorship (firms that fail drop out), producing selection bias that is MNAR (missing not at random). Instruments (tranche timing or LP composition) could fail exclusion restrictions if tranche timing correlates with unobserved local shocks or fund selection rules; this yields weak or invalid IVs. Verification subsample may be too small to generalize reconciliation rules. Measurement constructs (CompositeConcessionIndex) depend on pre-specified weights and may not generalize across sectors or jurisdictions. Legal and data-privacy constraints may limit payment-processor or cap table data access in some countries. Spillovers and clustering (effects across firms in same fund or market) complicate inference and may reduce effective sample size. Results will be context-bound to the pilot markets and to the types of IVCs observed, limiting external validity to other geographies or fund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