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Mixed-methods discursive-hegemonic analysis and preregistered experiments to measure how business leaders' populist framing shapes consumption</w:t>
      </w:r>
    </w:p>
    <w:p>
      <w:r>
        <w:t xml:space="preserve"> </w:t>
      </w:r>
    </w:p>
    <w:p>
      <w:pPr>
        <w:pStyle w:val="Heading2"/>
      </w:pPr>
      <w:r>
        <w:t>Short Hypothesis</w:t>
      </w:r>
    </w:p>
    <w:p>
      <w:r>
        <w:t>Exposure to populist consumption framing by business leaders causes an increase in the household share of spending on in-group brands (Purchase Segregation Index) and higher scores on an exclusionary consumption scale (ECC) within 90 days, compared with exposure to neutral brand messaging.</w:t>
      </w:r>
    </w:p>
    <w:p>
      <w:r>
        <w:t xml:space="preserve"> </w:t>
      </w:r>
    </w:p>
    <w:p>
      <w:pPr>
        <w:pStyle w:val="Heading2"/>
      </w:pPr>
      <w:r>
        <w:t>Related Work</w:t>
      </w:r>
    </w:p>
    <w:p>
      <w:r>
        <w:t>Existing work divides into three strands. First, political theory and populism research explain how leaders construct 'the people' through discursive and affective strategies, but these studies focus on political actors rather than corporate actors. Second, consumer behavior and marketing studies examine brand positioning, authenticity claims, and identity-based consumption, yet they typically treat political framings as peripheral and often rely on survey self-reports rather than observed purchases. Third, computational social science has developed methods for detecting populist rhetoric and multimodal persuasion (text, image, video), and for measuring polarization from social media; however, these methods often lack cross-lingual validation, do not integrate with psychometrically validated scales, and rarely connect detected rhetoric to real purchase behavior. Overall limitations: prior approaches do not jointly (a) treat business leaders as populist actors, (b) combine validated scales, multimodal classifiers, and behavioral purchase data, or (c) pre-specify causal estimands and robust interference strategies for field experiments.</w:t>
      </w:r>
    </w:p>
    <w:p>
      <w:r>
        <w:t xml:space="preserve"> </w:t>
      </w:r>
    </w:p>
    <w:p>
      <w:pPr>
        <w:pStyle w:val="Heading2"/>
      </w:pPr>
      <w:r>
        <w:t>Abstract</w:t>
      </w:r>
    </w:p>
    <w:p>
      <w:r>
        <w:t>This study introduces and tests the concept of 'consumption populism'—a discursive process by which business leaders construct a collective consumer 'people' to shape buying behavior. We combine a discursive-hegemonic theoretical frame with mixed methods: annotated multimodal corpora (text, image, video), psychometric scale validation, and preregistered randomized interventions measured with purchase-panel data. The main empirical contribution is a three-stage process model (otherization, homogenization, hegemony) and an operational toolkit: validated scales for populist framing and exclusionary consumption, multimodal classifiers for populist cues, and a Purchase Segregation Index (PSI) derived from transaction data. Experiments randomize exposure to corporate messages that manipulate affective cues, spectacle, and impossible demands to test mechanisms linking rhetoric to purchase segregation. Expected outcomes are (1) validated measures and classifiers that generalize across languages, and (2) causal estimates of messaging effects on real purchases and exclusionary attitudes. The work informs scholars and regulators about how corporate rhetoric can reshape markets and social boundaries.</w:t>
      </w:r>
    </w:p>
    <w:p>
      <w:r>
        <w:t xml:space="preserve"> </w:t>
      </w:r>
    </w:p>
    <w:p>
      <w:pPr>
        <w:pStyle w:val="Heading2"/>
      </w:pPr>
      <w:r>
        <w:t>Experiments</w:t>
      </w:r>
    </w:p>
    <w:p>
      <w:r>
        <w:t>Datasets: (1) Annotated multimodal corpus of 1,200 items (500 ads, 300 CEO statements, 200 social posts, 200 short videos) stratified by country and ideology; (2) Consumer survey panels for scale work: EFA N=400, CFA N=600; (3) Purchase panel or bank-transaction data covering ≥50,000 households for behavioral outcomes; (4) Social-network metadata for spillover measurement (followers, shares) where available. Baselines: (A) neutral-brand messaging (control); (B) authenticity-focused messaging (non-populist brand authenticity); (C) existing off-the-shelf populist-rhetoric classifier outputs. Evaluation metrics: NLP—F1, precision, recall (target F1≥0.80); psychometrics—CFI, RMSEA, Cronbach's alpha, ICC; behavioral—difference-in-means on PSI and IPS, risk difference, log-odds for purchase probability, cluster-robust standard errors, and GLMM estimated treatment effects. Experimental setup: create stimuli variants from real campaigns with three manipulated components (affective mobilization, spectacle, impossible demands). Randomize at individual level for online panel experiments (N≈800 per arm for d=0.20 detection) and at cluster/market level for field A/Bs (target 20–40 clusters per arm; report MDE curves). Measure outcomes at 30, 90, 180 days. Pre-specify primary estimands (ATE on PSI, risk difference on purchase probability) and inference methods (cluster-robust SE, randomization inference when clusters small). Ablations: (i) full populist stimulus vs affect-only vs spectacle-only vs demand-only; (ii) multimodal classifier ablation: text-only vs image-only vs combined; (iii) model ablation: with vs without sarcasm/irony detector. Report subgroup analyses by ideology and language and sensitivity checks for spillovers using partial-interference estimators.</w:t>
      </w:r>
    </w:p>
    <w:p>
      <w:r>
        <w:t xml:space="preserve"> </w:t>
      </w:r>
    </w:p>
    <w:p>
      <w:pPr>
        <w:pStyle w:val="Heading2"/>
      </w:pPr>
      <w:r>
        <w:t>Risk Factors And Limitations</w:t>
      </w:r>
    </w:p>
    <w:p>
      <w:r>
        <w:t>Data access: purchase-panel or bank transaction data may be unavailable or restricted, limiting behavioral tests. Annotation quality: intercoder disagreement can reduce classifier reliability; small annotated samples hurt generalization. Classifier failures: models may not generalize across languages, channels, or novel creative styles; sarcasm and irony can cause high error. Sample feasibility: target cluster sizes (hundreds to thousands) may be infeasible in some markets, making effects underpowered. Spillovers: diffusion across networks can bias cluster estimates if not measured. Ethical harms: experiments manipulating populist cues may increase polarization or harm vulnerable groups. Privacy and legal constraints: GDPR/CCPA may limit data sharing and require differential privacy, which reduces data utility. Computational cost: multimodal fine-tuning requires substantial GPUs and storage. Generalization limits: findings from one country, language, or sector may not transfer to others; cultural differences can invalidate measurement invariance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