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ethical_review_ssh_sweden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survey and interview study of how ethical review processes affect Swedish social science and humanities researchers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perceived administrative burden from ethical review processes increases the probability that Swedish social science and humanities researchers report altering or abandoning planned research.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quantitative studies measuring perceived fairness and administrative burden of ethics review (using procedural-justice and administrative-burden scales), qualitative case studies of researcher experiences, and policy analyses of ethics-committee practice. Limitations across existing approaches are: concentration on biomedical research rather than social sciences and humanities (SSH); reliance on single methods (either survey or interviews) rather than integrated mixed methods; limited attention to cluster structure by institution/REC and its effect on estimates; underdeveloped handling of nonresponse bias and combined weighting-plus-imputation workflows for clustered samples; scarce pre-registration and reproducible analytic pipelines; and weak operationalization of GDPR-safe document access and quote-anonymization rules. Measurement gaps include insufficient cross-group measurement-invariance testing (language, discipline, career stage) and few studies reporting robust psychometrics (CFA, reliability) in SSH contexts.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ethical review procedures influence research choices among Swedish social science and humanities (SSH) researchers. We use a mixed-methods design: a national, stratified survey of SSH researchers (target n=1,000) and purposive follow-up interviews (n=30–40) with high- and low-scoring respondents and cases reporting major design change or abandonment. The main contribution is a pre-registered, reproducible analysis that combines cluster-aware multilevel models, calibration weighting, and multiple imputation to estimate causal associations between perceived procedural fairness, administrative burden, and self-reported research change. Qualitative interviews and REC decision documents will explain mechanisms and contextualize statistical patterns through joint displays. Expected outcomes are validated SSH-appropriate measures of review burden and fairness, cluster-adjusted effect estimates of burden on research change, and actionable, GDPR-compliant guidance for REC processes and policy reform.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Survey sample drawn from composite frames: university faculty directories, Vetenskapsrådet PI/grant lists, SwePub/ORCID affiliation pulls, learned-society lists; target completed n=1,000 (min 800), invite 3,500–5,000; pilot n=50–100; (2) Interview transcripts n=30–40 from purposive sampling (bottom/top 20% on key scales and reported abandonment); (3) REC decision letters and guidance documents obtained via FOI/EPM templates or sanitized researcher submissions. Baseline models: (A) unweighted single-level OLS for scale outcomes and logistic for binary outcomes; (B) single-level with cluster-robust standard errors; (C) two-level multilevel models with random intercepts for institution/REC (recommended primary model). Primary outcomes: procedural-justice score (continuous), administrative-burden score (continuous), reported design-change/abandonment (binary). Measures: adapt Colquitt procedural-justice items and Moynihan administrative-burden items; compute Cronbach's alpha and McDonald's omega. Evaluation metrics: standardized effect size (Cohen's d), odds ratios, 95% CI, ICC (intraclass correlation), model fit (AIC/BIC), CFA fit indices (CFI, RMSEA, SRMR), item-total correlations, r-indicator for nonresponse, weight variability (max/mean/CV), imputation diagnostics, and k-anonymity risk (k value). Imputation &amp; weighting workflow: multiple imputation by chained equations (MICE) with m = max(50, %missing), include cluster id and auxiliary frame variables; compare two approaches in ablation: (1) impute within clusters (two-level MI via mitml or mice with cluster predictors) and (2) single-level MI including cluster dummies; apply calibration weights (weightIt or survey) after imputation and also test weighting-before-imputation; report results for both orders. Primary analytic model specification: multilevel linear regressions for scales and multilevel logistic regressions for binary outcomes with fixed effects for discipline, career stage, gender, prior training, REC outcome; pre-specify interactions discipline × career stage; run alternate models using institution fixed effects for sensitivity. Software and code: R packages lavaan (CFA), lme4 or brms (multilevel), survey/mitools/weightIt (weights), mice/mitml (MI), sdcMicro or ARX (k-anonymity); preregistered scripts on OSF. Ablations and comparisons: (i) unweighted vs weighted; (ii) single-level vs cluster-robust vs multilevel; (iii) two-level MI vs single-level MI; (iv) full invariance CFA vs partial/alignment methods; (v) MNAR sensitivity: pattern-mixture delta adjustments vs hierarchical selection-models with pre-specified delta/selection parameter ranges. Qualitative integration: create joint displays linking individual survey scores to coded interview themes; report meta-inferences that explain statistical associations. Reproducibility: publish analytic scripts, anonymized aggregate tables, and synthetic microdata on OSF.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Legal and data-access delays: FOI/EPM requests may be delayed or produce heavily redacted documents, limiting document analysis. Nonresponse and bias: low response rates or differential nonresponse by discipline or contract type can reduce representativeness; MNAR (missing not at random) patterns may limit causal inferences. Small subgroup sizes: some disciplines or precarious contract groups may have small n, reducing power for subgroup tests. Model mis-specification: incorrect choice of fixed vs random effects or improper combination of weights and MI can bias estimates. Imputation failure modes: MICE convergence problems, poor auxiliary variables, or incompatibility with clustering can distort results. Measurement limits: lack of full measurement invariance may require separate scoring, complicating cross-group comparisons. Re-identification risk: quotes or small-cell aggregates may allow re-identification in niche fields; k-anonymity suppression reduces quote specificity and richness. Generalizability: findings are specific to the Swedish REC and legal context and may not generalize to other countries. Resource constraints: transcription, translation, two-level MI and secure data handling require staff time and budget and may limit scope if underfunded.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