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ethical_review_nonmedical_japan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SCAT analysis and stepped-wedge cluster evaluation of ethical review practices for non-medical research proposals in Japan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Implementing a standardized standard‑operating‑procedure (SOP) combined with vignette-based rater training will reduce the median review time (days from official submission timestamp to final decision) by at least 25% in participating RECs within six months compared to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documents large variability in institutional review board (IRB)/research ethics committee (REC) decisions and timelines, often using vignettes or case studies to assess concordance across reviewers. Prior quantitative studies emphasize kappa or ICC for inter-rater reliability but are mostly concentrated in biomedical/clinical settings and in Western contexts. Qualitative studies examine committee rationales and local norms but are typically single-site or small multi-site samples and do not tie findings to pre-specified quantitative metrics such as time-to-decision. Work on centralized or proportionate review models shows potential efficiency gains, but evaluations lack standardized outcome definitions and robust cluster-randomized designs. Key limitations across the literature: scarce Japan-specific empirical evidence, limited use of mixed qualitative–quantitative triangulation, inconsistent operationalization of review time (no standard censoring rules), small sample sizes for ICC/kappa estimation, and weak handling of legal/privacy constraints in analysis plans. These gaps hinder defensible benchmarking and policy-relevant inference for non-medical research ethics review in Japan.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ethics committees review non-medical research proposals in Japan and test whether a harmonized SOP plus vignette-based rater training reduces review delays. We combine the SCAT (a structured qualitative coding method) analysis of committee review comments and minutes with a stepped-wedge cluster trial across a national stratified sample of RECs. Primary outcome is median review time measured as a time-to-event variable from official submission timestamp to final decision. Secondary outcomes include inter-reviewer concordance (kappa) on standardized vignettes and inter-committee variability (ICC). Contributions: (1) an operationalized, reproducible definition of review-time with censoring rules; (2) a mixed-methods linkage that maps qualitative rationales to quantitative delay and concordance metrics; (3) evidence on the effectiveness of SOP+training in improving timeliness and reliability. Expected impact: provide Japan-specific, policy-relevant evidence and reusable tools (vignette bank, SOP templates, SAP) to harmonize and speed ethical review for non-medical research while respecting privacy and legal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REC document corpus: submission timestamps, decision timestamps, meeting minutes, review comments, and risk categorizations from N=250–300 RECs (clusters) stratified by sector (universities, hospital-affiliated, corporate, NGO); 3–8 reviewer respondents per REC. (b) Vignette responses: 40–60 standardized vignettes scored by participating reviewers. (c) Researcher survey: N≈1,000 investigators for satisfaction and perceived delays. (d) Qualitative sample: 30–40 semi-structured interviews, 6–8 focus groups, and 8–12 observations; SCAT-coded review comments. Baselines: pre-intervention period within each cluster (status quo) and contemporaneous control clusters in stepped-wedge sequence. Interventions/arms: (A) SOP + vignette-based training, (B) vignette-based training only, (C) control (no new intervention). Evaluation metrics: primary — median review time (days) as time-to-event with censoring (origin = official submission timestamp; event = final decision recorded; censor if withdrawn or unresolved at administrative cutoff); report median, IQR, 90th percentile, and proportion meeting timeliness thresholds. Secondary — Cohen’s or weighted kappa and Fleiss’ kappa for vignette concordance with 95% CIs; ICC from random-effects models for inter-committee variability; researcher satisfaction change in percentage points. Statistical models: mixed-effects Cox proportional hazards for time-to-decision with REC random intercepts (cluster as random effect), robust SEs, adjust covariates (REC sector, size, baseline timeliness); GLMM (ordinal or logistic link as appropriate) for concordance outcomes with REC random effects; variance components extracted for ICC. Missing data: multiple imputation by chained equations using predictors (REC size, sector, baseline metrics); report sensitivity analyses including complete‑case and pattern‑mixture models. Power and simulation: Monte‑Carlo simulations covering ICC values 0.01–0.60, cluster sizes 3–8, attrition 10–25% to estimate detectable hazard ratios and kappa changes at 80%/90% power; include simulation outputs as pre-specified justification. Comparisons/ablations: (1) SOP+training vs training-only vs control; (2) analysis with and without clusters that decline document access (informative nonresponse scenario); (3) ablation removing SOP component to estimate marginal effect of SOP. Reproducibility: all analysis code, seeded containers, and synthetic example datasets to be published in a code repository; fixed random seeds for simulations and analysis.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Access refusal: some RECs may deny document access, causing selection bias and informative missingness. Legal/privacy constraints: APPI rules and PIPC expectations may limit data sharing and cross-border analysis. Measurement error: inconsistent or missing timestamps, variable definitions of 'final decision', and iterative submissions complicate time-to-event coding. Reliability metrics sensitivity: kappa is sensitive to prevalence and marginal distributions; ICC estimates unstable with small cluster sizes. Contamination: training materials may spread to control clusters in a stepped-wedge rollout, reducing measurable effect. Scalability: collecting and securely storing large volumes of documents requires substantial IT and budget resources (HSM, secure enclaves). Qualitative coding limits: SCAT findings may not generalize beyond sampled institutions. Generalizability: results from Japan’s institutional and legal context may not transfer to other jurisdictions. Computational limits: Monte‑Carlo simulations for many scenarios and multilevel models may be compute‑intensive.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