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corporate_risk_homogeneity_systemic_risk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Using text mining and Bayesian latent modeling of corporate risk disclosures to estimate the causal effect of risk-perception homogeneity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Increases in cross-sectional homogeneity of firms' risk perceptions cause larger tail systemic financial losses, holding average risk and network exposures constant.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systemic risk using market-based aggregates (e.g., SRISK, CoVaR) or estimate network contagion from observable exposures. Text-mining work extracts risk topics or sentiment from filings and earnings calls but typically reports noisy point estimates without full uncertainty propagation. Network reconstruction methods (maximum-entropy, iterative proportional fitting, configuration models) generate plausible exposures but often ignore edge-weight uncertainty or multi-layer links (credit, supply chain, common holdings). Agent-based and contagion models show amplification from correlated behavior but rarely use empirically inferred firm beliefs or provide causal identification. Limitations: prior studies do not fuse noisy NLP signals, survey anchors, and market data in a single Bayesian latent model; they underreport measurement uncertainty; they rarely pre-register instruments or quantify first-stage strength; they focus on single-layer networks and do not propagate network reconstruction uncertainty into systemic risk inferences.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unified empirical framework that extracts firm-level risk perceptions from disclosure texts, constructs a Bayesian latent variable for each firm's perceived risk (θ), and tests whether cross-firm homogeneity in θ increases systemic tail risk. The approach combines (1) text mining of risk-factor disclosures and earnings calls to form observable indicators, (2) a hierarchical Bayesian observation model that fuses survey anchors, NLP scores, and market signals to produce posterior draws of θ with uncertainty, (3) multi-layer network reconstruction ensembles to represent exposure uncertainty, and (4) calibrated agent-based contagion simulations and causal econometric tests (event studies and instrumental variables) to estimate the effect of homogeneity on systemic metrics. Main contributions are: a reproducible pipeline that propagates measurement and network uncertainty into systemic risk estimates, numeric priors and validation targets for the NLP and latent model, and pre-registered identification checks for candidate instruments. Expected outcome: quantifiable dose–response curves linking homogeneity to tail risk with credible intervals useful for policy stress tests.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EDGAR 10-K/10-Q risk-factor sections (2005–2021), earnings-call transcripts (2005–2021), CRSP/Compustat for balance sheets, CDS spreads and options implied volatility (IV) for market risk, 13F/holdings for portfolio overlap, supervisory marginals if available, pilot survey of N=200–300 firms across 4 sectors. Baselines: (A) market-only systemic measures (SRISK, CoVaR); (B) simple NLP baselines: TF-IDF risk-keyword counts and LDA topic shares; (C) point-estimate latent θ from factor analysis. Proposed method: Bayesian hierarchical latent θ model + network ensemble + ABM. Evaluation metrics: SRISK RMSE (time series), CRPS (probabilistic score), KS test for tail distribution fit, AUC and precision for distress classification, first-stage partial R2 and F-statistic for instruments, out-of-sample log predictive density and WAIC for model choice. Experimental steps: 1) NLP annotation: create annotated set of 2,000 documents, inter-annotator agreement target Cohen's kappa ≥ 0.7. 2) Estimate Bayesian observation model with numeric priors: modality loadings λ in [0.5,2.0], measurement SDs σ_mod in [0.05,1.0], AR(1) persistence φ in [0.5,0.95]; run prior predictive checks. (Loading ranges: 0.5 means modest link, 2.0 strong link; SD is standard deviation of measurement noise.) 3) Draw 1,000 posterior θ trajectories. 4) For each time snapshot generate 2,000 network reconstructions (ME/IPF, ECM, Bayesian constrained sampling). 5) For each posterior draw run ABM ensembles of 50 runs and calibrate microfoundations via Approximate Bayesian Computation (ABC) to match SRISK moments and default-cluster sizes. 6) Causal tests: event-study for sudden information shocks and IV regressions using three pre-registered instruments (analyst-coverage shocks, disclosure-precision mandates, media-attention shocks) with pre-specified control set (macro GDP growth, VIX, sector fixed effects, lagged SRISK, firm size, leverage). Report first-stage partial R2 and use weak-IV robust methods (Anderson-Rubin and conditional likelihood ratio) if F&lt;10. Ablations: (i) remove θ uncertainty (use posterior mean only), (ii) remove network uncertainty (single point network), (iii) alternate microfoundations (exponential leverage map; linear buffer map; θ-dependent mean-variance allocation). Pre-specified validation episodes: 2007–2009, 2010–2012, 2020 onset. Report ensemble medians and 5–95% credible intervals for all outcomes.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weakness: candidate instruments may have low first-stage partial R2 (&lt;0.02) leading to weak-IV bias. Measurement error: NLP models can mislabel risk content or have domain drift across time; annotated training set may not generalize. Missing data and selection: survey nonresponse can be MNAR (not missing at random); minimum pilot response shortfalls per stratum will reduce power. Network identifiability: sparse supervisory marginals limit edge recovery and lead to wide exposure uncertainty; some edges are not recoverable. Computational scale: worst-case ensemble target 50k–100k ABM runs implies ≈100k–400k CPU-hours and 2–5 TB storage; cloud/HPC cost and job failures are realistic bottlenecks. Model selection ambiguity: competing microfoundations may produce similar fit (WAIC differences small), complicating policy recommendations. Causal-feedback confounding: homogeneity may be endogenous to contemporaneous shocks (simultaneity), making causal attribution difficult. Legal and governance limits: DUAs or data licensing may prevent use of some proprietary supervisory or holdings data. External validity: results may not generalize across countries, small firms, or periods with structural regime changes.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