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military_boards_audit_em_pakistan</w:t>
      </w:r>
    </w:p>
    <w:p>
      <w:r>
        <w:t xml:space="preserve"> </w:t>
      </w:r>
    </w:p>
    <w:p>
      <w:pPr>
        <w:pStyle w:val="Heading2"/>
      </w:pPr>
      <w:r>
        <w:t>Title</w:t>
      </w:r>
    </w:p>
    <w:p>
      <w:r>
        <w:t>Callaway–Sant’Anna staggered difference-in-differences analysis of how military-experienced board appointments affect accrual and real earnings management with audit quality moderation</w:t>
      </w:r>
    </w:p>
    <w:p>
      <w:r>
        <w:t xml:space="preserve"> </w:t>
      </w:r>
    </w:p>
    <w:p>
      <w:pPr>
        <w:pStyle w:val="Heading2"/>
      </w:pPr>
      <w:r>
        <w:t>Short Hypothesis</w:t>
      </w:r>
    </w:p>
    <w:p>
      <w:r>
        <w:t>The appointment of military-experienced directors to corporate boards causally reduces firm-level accrual-based and real earnings management, and this reduction is larger for firms with higher audit quality.</w:t>
      </w:r>
    </w:p>
    <w:p>
      <w:r>
        <w:t xml:space="preserve"> </w:t>
      </w:r>
    </w:p>
    <w:p>
      <w:pPr>
        <w:pStyle w:val="Heading2"/>
      </w:pPr>
      <w:r>
        <w:t>Related Work</w:t>
      </w:r>
    </w:p>
    <w:p>
      <w:r>
        <w:t>Prior work studies the link between board composition and earnings management, and separately examines audit quality as a governance mechanism. Common approaches use cross-sectional regressions, simple panel fixed-effects, or event studies. Limitations in existing work include weak handling of staggered treatment timing (which can bias difference-in-differences with heterogeneous effects), limited separation of accrual-based versus real earnings management, scarce use of credible instruments for director selection, and insufficient validation of military-background coding (often treated as a noisy binary indicator). Many studies focus on developed markets, reducing external validity for emerging markets. Few papers apply modern causal tools (cohort-aware staggered-DiD, robust IVs, machine-learning for control adjustment) alongside rigorous NLP validation and measurement-error correction. Mediation evidence on whether effects operate through improved audit processes versus signaling to markets is also limited.</w:t>
      </w:r>
    </w:p>
    <w:p>
      <w:r>
        <w:t xml:space="preserve"> </w:t>
      </w:r>
    </w:p>
    <w:p>
      <w:pPr>
        <w:pStyle w:val="Heading2"/>
      </w:pPr>
      <w:r>
        <w:t>Abstract</w:t>
      </w:r>
    </w:p>
    <w:p>
      <w:r>
        <w:t>This study evaluates whether appointing military-experienced directors to corporate boards affects managers' use of accrual-based and real earnings management in Pakistan (2010–2022), and whether audit quality moderates those effects. We use the Callaway–Sant’Anna staggered difference-in-differences estimator (which estimates cohort-time average treatment effects robust to staggered adoption and heterogeneous dynamics) as the primary causal method, with Sun–Abraham and IV (regional veteran-supply shocks) as robustness checks. Military experience is measured by a validated mil_intensity index built from director biographies using NLP plus manual labeling. We pre-specify event windows, formal pre-trend diagnostics, and measurement-error correction using the validation sample. The main contribution is an integrated causal and measurement pipeline that combines modern staggered-DiD, validated NLP coding, and mediation analysis to separate monitoring (audit processes) from signaling channels. Expected outcomes are credible estimates of the effect size on accrual and real EM, how audit quality changes the effect, and transparent sensitivity bounds for measurement and identification assumptions.</w:t>
      </w:r>
    </w:p>
    <w:p>
      <w:r>
        <w:t xml:space="preserve"> </w:t>
      </w:r>
    </w:p>
    <w:p>
      <w:pPr>
        <w:pStyle w:val="Heading2"/>
      </w:pPr>
      <w:r>
        <w:t>Experiments</w:t>
      </w:r>
    </w:p>
    <w:p>
      <w:r>
        <w:t>Datasets: (1) Firm-year panel of non-financial firms listed on the Pakistan Stock Exchange, 2010–2022, with accounting variables, ownership, and audit-fee/audit-lag/restatement indicators; (2) director biographies (BoardEx and public sources) merged to director-firm-year; (3) regional veteran supply data by commuting zone and timing of veteran-placement program rollouts or base-closure events; (4) industry×year controls and local labor-market series. Treatment: firm-year indicator of first appointment of any military-experienced director; secondary treatments: first military audit-committee member, mil_chair, share_mil_dir ≥0.5. Event window: leads = -4..-1, lags = 0..+6 (report alternatives -6..+10). Primary estimator: Callaway–Sant’Anna (CS) staggered DiD on cohort-residualized outcomes; robustness: Sun–Abraham (SA), standard two-way FE DiD, and matched DiD. Instrumental approach: IV 2SLS and LIML using veteran-per-capita commuting-zone shocks and policy rollouts; report first-stage F and weak-IV robust CIs. Measurement: build mil_intensity index from years_of_service, rank_tier, leadership indicator and board-role multiplier; validate on 800–1,000 manually coded bios and report precision, recall, and Cohen’s kappa. Measurement-error correction: apply validation-sample IV and SIMEX, propagate uncertainty into SEs. Outcomes: accrual-based discretionary accruals (modified Jones with performance control), real earnings management proxies (abnormal production, discretionary expenses, cash flows), restatement incidence, audit-fee and audit-lag. Evaluation metrics: ATT estimates (in SDs and $/assets), 95% CI, p-values, Romano–Wolf adjusted p-values, first-stage F, NLP metrics (precision, recall, kappa), and MDE for clustered samples. Ablations: (A) binary any_mil_dir vs mil_intensity; (B) with vs without audit-quality moderator interaction; (C) CS with residualized vs non-residualized outcomes; (D) with vs without IV; (E) different mil_intensity weightings (pre-specified). Robustness and inference: cohort-specific de-trending, placebo event studies, permutation tests, wild-cluster bootstrap, two-way clustering (firm and industry-year), and Romano–Wolf multiple-testing correction. Pre-registered sample rule: proceed if ≥200 treated firms and ≥5 post years; otherwise report MDE tables and limit claims.</w:t>
      </w:r>
    </w:p>
    <w:p>
      <w:r>
        <w:t xml:space="preserve"> </w:t>
      </w:r>
    </w:p>
    <w:p>
      <w:pPr>
        <w:pStyle w:val="Heading2"/>
      </w:pPr>
      <w:r>
        <w:t>Risk Factors And Limitations</w:t>
      </w:r>
    </w:p>
    <w:p>
      <w:r>
        <w:t>NLP misclassification: biography text can be incomplete or ambiguous, producing measurement error in mil_intensity that may bias estimates toward zero; manual validation may still leave residual error. Weak or invalid instruments: veteran-supply shocks may correlate with local economic trends that affect firm outcomes, violating exclusion. Small treated-sample or clustered data: too few treated firms or few clusters can make inference unreliable even with wild-bootstrap or permutation. Violations of parallel trends: cohort de-trending may not fully remove pre-trends if shocks are nonlinear or concurrent policy changes occur. Unobserved confounding: board appointments may be endogenous to unmeasured governance reforms. Limited generalizability: results from Pakistan may not transfer to other countries with different military–civil relations. Power limits for rare outcomes: restatements are rare and may lack power to detect small effects. Mediation limits: sequential g-estimation assumes no unmeasured mediator–outcome confounding, which may not hold in practice. Data access and privacy: director biographical details may be restricted, limiting reproducibility of raw data sharing.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