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saudi_21c_skills_integration</w:t>
      </w:r>
    </w:p>
    <w:p>
      <w:r>
        <w:t xml:space="preserve"> </w:t>
      </w:r>
    </w:p>
    <w:p>
      <w:pPr>
        <w:pStyle w:val="Heading2"/>
      </w:pPr>
      <w:r>
        <w:t>Title</w:t>
      </w:r>
    </w:p>
    <w:p>
      <w:r>
        <w:t>Sequential exploratory mixed-methods study of English and mathematics teachers' integration of 21st century skills and barriers in Saudi schools</w:t>
      </w:r>
    </w:p>
    <w:p>
      <w:r>
        <w:t xml:space="preserve"> </w:t>
      </w:r>
    </w:p>
    <w:p>
      <w:pPr>
        <w:pStyle w:val="Heading2"/>
      </w:pPr>
      <w:r>
        <w:t>Short Hypothesis</w:t>
      </w:r>
    </w:p>
    <w:p>
      <w:r>
        <w:t>Higher levels of teachers' observable enactment of the four 21st century skills (creativity, collaboration, critical thinking, communication) cause higher student performance on matched skill-focused English and mathematics tasks after controlling for prior achievement and school resources.</w:t>
      </w:r>
    </w:p>
    <w:p>
      <w:r>
        <w:t xml:space="preserve"> </w:t>
      </w:r>
    </w:p>
    <w:p>
      <w:pPr>
        <w:pStyle w:val="Heading2"/>
      </w:pPr>
      <w:r>
        <w:t>Related Work</w:t>
      </w:r>
    </w:p>
    <w:p>
      <w:r>
        <w:t>Existing approaches to measuring teachers' integration of 21st century skills fall into three families: self-report surveys, structured classroom observations/rubrics, and student performance tasks. Self-report surveys are cheap and scale easily but often overestimate practice because of social-desirability bias. Observation rubrics give richer behavioral evidence but are costly, require intensive rater training, and face inter-rater reliability challenges. Performance-task frameworks (for example international frameworks used for problem solving and writing) provide task-aligned student evidence but are resource intensive and require careful adaptation. Psychometric methods used to validate measures include confirmatory factor analysis (CFA, a technique to test if items measure intended constructs), item response theory (IRT, a model that links item responses to latent skill levels), and differential item functioning (DIF, tests whether items work differently for different groups). Limitations across prior work are: reliance on single-method data (often self-report), weak cross-language or cultural adaptation procedures, limited multilevel or clustered IRT/DIF that accounts for teachers and schools, small subgroup samples that prevent invariance testing, and scarce evidence from the Saudi context where gender-segregated schools, regional variation, and curriculum constraints change observable behaviors.</w:t>
      </w:r>
    </w:p>
    <w:p>
      <w:r>
        <w:t xml:space="preserve"> </w:t>
      </w:r>
    </w:p>
    <w:p>
      <w:pPr>
        <w:pStyle w:val="Heading2"/>
      </w:pPr>
      <w:r>
        <w:t>Abstract</w:t>
      </w:r>
    </w:p>
    <w:p>
      <w:r>
        <w:t>This study measures how English and mathematics teachers in Saudi Arabia integrate four 21st century skills (creativity, collaboration, critical thinking, communication) into classroom instruction and identifies major barriers to integration. We use a sequential exploratory mixed-methods design: qualitative interviews and cognitive probes will produce culturally grounded, bilingual rubrics and survey items; classroom observations and student artifacts will validate observable enactment; and a teacher questionnaire derived from qualitative findings will be psychometrically evaluated. Main contributions are a validated bilingual measurement battery (observation rubric + survey) adapted to Saudi classrooms, a reproducible psychometric pipeline (CFA, graded response IRT, DIF under clustered data), and simulation-informed sample-size targets for multilevel inference. Expected outcomes are clear estimates of the prevalence and quality of skill enactment, documented measurement properties across gender streams and regions, and a prioritized list of systemic barriers to guide policy and teacher development.</w:t>
      </w:r>
    </w:p>
    <w:p>
      <w:r>
        <w:t xml:space="preserve"> </w:t>
      </w:r>
    </w:p>
    <w:p>
      <w:pPr>
        <w:pStyle w:val="Heading2"/>
      </w:pPr>
      <w:r>
        <w:t>Experiments</w:t>
      </w:r>
    </w:p>
    <w:p>
      <w:r>
        <w:t>Phase 1 — Qualitative and instrument development: Cognitive interviews with 12–18 teachers stratified by region × gender-stream × public/private to refine wording; 30–40 semi-structured teacher interviews and 8–10 focus groups; produce bilingual rubric anchors and an initial item pool of 60–90 items (≈15–25 per skill). Phase 2 — Pilot and calibration: Pilot survey N=300 and 40–60 classroom observations across 8–12 schools; double-code 20–25% of observations; use pilot to trim item pool to target test length 24–36 items (6–9 per skill) and create 6–8 anchor items for linking. Phase 3 — Main data collection: stratified survey N=400–700 teachers from 60–100 schools across 4–6 regions with balanced public/private and gender streams; paired classroom observations for a 20–30% subsample (≈120–210 paired observations). Student outcome linkage: collect matched student task scores within ≤3 months (N students per teacher variable; control for prior achievement). Baselines: (A) self-report survey only, (B) observation rubric only, (C) combined observation-informed scale. Evaluation metrics: CFA fit indices (CFI, TLI, RMSEA, SRMR; explain: measures of model fit where higher CFI/TLI ≈ better and lower RMSEA/SRMR ≈ better); IRT metrics (discrimination a-parameter, item information function); DIF detection rates and effect sizes (logit differences); inter-rater reliability ICC and G-coefficients; multilevel model effect sizes f2 and predicted variance explained at teacher and school levels. Analysis methods and setup: MG-CFA with WLSMV for ordinal items (holdout 30% sample for cross-validation), Graded Response Model (GRM) using mirt for item parameters, DIF tests via IRT-LR and ordinal logistic regression with iterative anchor purification, multilevel linear mixed models (teachers nested in schools nested in regions) to estimate association between teacher-scale scores and student outcomes controlling prior achievement and school resources. Cross-validation and ablation: 70/30 stratified splits for psychometric cross-validation; ablation 1 — remove observation-informed anchor items to compare predictive validity for student outcomes; ablation 2 — compare scales built from English-adapted vs Arabic-adapted anchors. Power and simulation: run simulation-based power analyses for 3-level models with ICC scenarios .05/.10/.20 and fixed-effect MDEs corresponding to f2 ≈ .02, .05, .10 to produce per-cell sample-size recommendations.</w:t>
      </w:r>
    </w:p>
    <w:p>
      <w:r>
        <w:t xml:space="preserve"> </w:t>
      </w:r>
    </w:p>
    <w:p>
      <w:pPr>
        <w:pStyle w:val="Heading2"/>
      </w:pPr>
      <w:r>
        <w:t>Risk Factors And Limitations</w:t>
      </w:r>
    </w:p>
    <w:p>
      <w:r>
        <w:t>Access and sampling: gender-segregated schools and regional approvals may limit representative sampling and delay data collection. Social-desirability and self-report bias: teacher survey responses may overstate integration of skills. Observer effects: teachers may alter practice when observed, biasing rubrics. Psychometric limits: small subgroup Ns can prevent full scalar invariance tests; WLSMV (an estimator for ordinal data) has limitations handling missing data compared with ML/FIML. DIF under clustering: standard person-level DIF methods may misestimate DIF when responses are clustered by class/teacher unless multilevel IRT is used, which increases compute and sample-size needs. Translation and adaptation: forward/back-translation may still leave subtle meaning shifts across Arabic/English that affect validity. Causal inference limits: observational design and cross-sectional linkage to student outcomes limit causal claims; unmeasured confounding may remain. Scalability and compute: multilevel IRT, full simulations, and large GRM fits require substantial compute time and technical expertise. Generalization: findings will be specific to Saudi curriculum, gender-segregation norms, and resource conditions and may not generalize to other countries.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